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974" w:rsidRPr="008B6F4B" w:rsidRDefault="008B6F4B" w:rsidP="00E80974">
      <w:pPr>
        <w:spacing w:after="0" w:line="240" w:lineRule="auto"/>
        <w:jc w:val="center"/>
        <w:rPr>
          <w:rFonts w:ascii="Arial" w:hAnsi="Arial" w:cs="Arial"/>
          <w:b/>
          <w:color w:val="000000" w:themeColor="text1"/>
          <w:sz w:val="21"/>
          <w:szCs w:val="21"/>
          <w:lang w:val="en-US"/>
        </w:rPr>
      </w:pPr>
      <w:r w:rsidRPr="008B6F4B">
        <w:rPr>
          <w:rFonts w:ascii="Arial" w:hAnsi="Arial" w:cs="Arial"/>
          <w:b/>
          <w:color w:val="000000" w:themeColor="text1"/>
          <w:sz w:val="21"/>
          <w:szCs w:val="21"/>
          <w:lang w:val="en-US"/>
        </w:rPr>
        <w:t>Guiding questions for the focused areas of the X Session of the Open-Ended Working Group on Ag</w:t>
      </w:r>
      <w:r>
        <w:rPr>
          <w:rFonts w:ascii="Arial" w:hAnsi="Arial" w:cs="Arial"/>
          <w:b/>
          <w:color w:val="000000" w:themeColor="text1"/>
          <w:sz w:val="21"/>
          <w:szCs w:val="21"/>
          <w:lang w:val="en-US"/>
        </w:rPr>
        <w:t>e</w:t>
      </w:r>
      <w:r w:rsidRPr="008B6F4B">
        <w:rPr>
          <w:rFonts w:ascii="Arial" w:hAnsi="Arial" w:cs="Arial"/>
          <w:b/>
          <w:color w:val="000000" w:themeColor="text1"/>
          <w:sz w:val="21"/>
          <w:szCs w:val="21"/>
          <w:lang w:val="en-US"/>
        </w:rPr>
        <w:t>ing</w:t>
      </w:r>
      <w:r w:rsidR="00E80974" w:rsidRPr="008B6F4B">
        <w:rPr>
          <w:rFonts w:ascii="Arial" w:hAnsi="Arial" w:cs="Arial"/>
          <w:b/>
          <w:color w:val="000000" w:themeColor="text1"/>
          <w:sz w:val="21"/>
          <w:szCs w:val="21"/>
          <w:lang w:val="en-US"/>
        </w:rPr>
        <w:t>.</w:t>
      </w:r>
    </w:p>
    <w:p w:rsidR="00E80974" w:rsidRPr="008B6F4B" w:rsidRDefault="00E80974" w:rsidP="00E80974">
      <w:pPr>
        <w:spacing w:after="0" w:line="240" w:lineRule="auto"/>
        <w:jc w:val="both"/>
        <w:rPr>
          <w:rFonts w:ascii="Arial" w:hAnsi="Arial" w:cs="Arial"/>
          <w:b/>
          <w:color w:val="000000" w:themeColor="text1"/>
          <w:sz w:val="21"/>
          <w:szCs w:val="21"/>
          <w:lang w:val="en-US"/>
        </w:rPr>
      </w:pPr>
    </w:p>
    <w:p w:rsidR="00E80974" w:rsidRPr="002B6A07" w:rsidRDefault="00E80974" w:rsidP="00044F9D">
      <w:pPr>
        <w:spacing w:after="0" w:line="240" w:lineRule="auto"/>
        <w:rPr>
          <w:rFonts w:ascii="Arial" w:hAnsi="Arial" w:cs="Arial"/>
          <w:b/>
          <w:sz w:val="21"/>
          <w:szCs w:val="21"/>
          <w:u w:val="single"/>
          <w:lang w:val="en-US"/>
        </w:rPr>
      </w:pPr>
      <w:r w:rsidRPr="002B6A07">
        <w:rPr>
          <w:rFonts w:ascii="Arial" w:hAnsi="Arial" w:cs="Arial"/>
          <w:b/>
          <w:color w:val="000000" w:themeColor="text1"/>
          <w:sz w:val="21"/>
          <w:szCs w:val="21"/>
          <w:lang w:val="en-US"/>
        </w:rPr>
        <w:t xml:space="preserve">1. </w:t>
      </w:r>
      <w:r w:rsidR="008B6F4B" w:rsidRPr="002B6A07">
        <w:rPr>
          <w:rFonts w:ascii="Arial" w:hAnsi="Arial" w:cs="Arial"/>
          <w:b/>
          <w:color w:val="000000" w:themeColor="text1"/>
          <w:sz w:val="21"/>
          <w:szCs w:val="21"/>
          <w:lang w:val="en-US"/>
        </w:rPr>
        <w:t xml:space="preserve">Education, training, life-long learning and capacity-building </w:t>
      </w:r>
      <w:r w:rsidRPr="002B6A07">
        <w:rPr>
          <w:rFonts w:ascii="Arial" w:hAnsi="Arial" w:cs="Arial"/>
          <w:b/>
          <w:color w:val="000000" w:themeColor="text1"/>
          <w:sz w:val="21"/>
          <w:szCs w:val="21"/>
          <w:lang w:val="en-US"/>
        </w:rPr>
        <w:br/>
      </w:r>
    </w:p>
    <w:p w:rsidR="00E80974" w:rsidRPr="008B6F4B" w:rsidRDefault="008B6F4B" w:rsidP="00E80974">
      <w:pPr>
        <w:spacing w:line="240" w:lineRule="auto"/>
        <w:jc w:val="both"/>
        <w:rPr>
          <w:rFonts w:ascii="Arial" w:hAnsi="Arial" w:cs="Arial"/>
          <w:b/>
          <w:sz w:val="21"/>
          <w:szCs w:val="21"/>
          <w:lang w:val="en-US"/>
        </w:rPr>
      </w:pPr>
      <w:r w:rsidRPr="008B6F4B">
        <w:rPr>
          <w:rFonts w:ascii="Arial" w:hAnsi="Arial" w:cs="Arial"/>
          <w:b/>
          <w:sz w:val="21"/>
          <w:szCs w:val="21"/>
          <w:lang w:val="en-US"/>
        </w:rPr>
        <w:t>National Legal Framework</w:t>
      </w:r>
    </w:p>
    <w:p w:rsidR="00E80974" w:rsidRPr="008B6F4B" w:rsidRDefault="00E80974" w:rsidP="00E80974">
      <w:pPr>
        <w:pStyle w:val="Prrafodelista"/>
        <w:spacing w:line="240" w:lineRule="auto"/>
        <w:ind w:left="0"/>
        <w:jc w:val="both"/>
        <w:rPr>
          <w:rFonts w:ascii="Arial" w:hAnsi="Arial" w:cs="Arial"/>
          <w:b/>
          <w:sz w:val="21"/>
          <w:szCs w:val="21"/>
          <w:lang w:val="en-US"/>
        </w:rPr>
      </w:pPr>
      <w:r w:rsidRPr="008B6F4B">
        <w:rPr>
          <w:rFonts w:ascii="Arial" w:hAnsi="Arial" w:cs="Arial"/>
          <w:b/>
          <w:sz w:val="21"/>
          <w:szCs w:val="21"/>
          <w:lang w:val="en-US"/>
        </w:rPr>
        <w:t xml:space="preserve">1. </w:t>
      </w:r>
      <w:proofErr w:type="gramStart"/>
      <w:r w:rsidR="008B6F4B" w:rsidRPr="008B6F4B">
        <w:rPr>
          <w:rFonts w:ascii="Arial" w:hAnsi="Arial" w:cs="Arial"/>
          <w:b/>
          <w:sz w:val="21"/>
          <w:szCs w:val="21"/>
          <w:lang w:val="en-US"/>
        </w:rPr>
        <w:t>In</w:t>
      </w:r>
      <w:proofErr w:type="gramEnd"/>
      <w:r w:rsidR="008B6F4B" w:rsidRPr="008B6F4B">
        <w:rPr>
          <w:rFonts w:ascii="Arial" w:hAnsi="Arial" w:cs="Arial"/>
          <w:b/>
          <w:sz w:val="21"/>
          <w:szCs w:val="21"/>
          <w:lang w:val="en-US"/>
        </w:rPr>
        <w:t xml:space="preserve"> your country/</w:t>
      </w:r>
      <w:proofErr w:type="spellStart"/>
      <w:r w:rsidR="008B6F4B" w:rsidRPr="008B6F4B">
        <w:rPr>
          <w:rFonts w:ascii="Arial" w:hAnsi="Arial" w:cs="Arial"/>
          <w:b/>
          <w:sz w:val="21"/>
          <w:szCs w:val="21"/>
          <w:lang w:val="en-US"/>
        </w:rPr>
        <w:t>región</w:t>
      </w:r>
      <w:proofErr w:type="spellEnd"/>
      <w:r w:rsidR="008B6F4B" w:rsidRPr="008B6F4B">
        <w:rPr>
          <w:rFonts w:ascii="Arial" w:hAnsi="Arial" w:cs="Arial"/>
          <w:b/>
          <w:sz w:val="21"/>
          <w:szCs w:val="21"/>
          <w:lang w:val="en-US"/>
        </w:rPr>
        <w:t xml:space="preserve">, how is the right to education, training, life-long learning and </w:t>
      </w:r>
      <w:proofErr w:type="spellStart"/>
      <w:r w:rsidR="008B6F4B" w:rsidRPr="008B6F4B">
        <w:rPr>
          <w:rFonts w:ascii="Arial" w:hAnsi="Arial" w:cs="Arial"/>
          <w:b/>
          <w:sz w:val="21"/>
          <w:szCs w:val="21"/>
          <w:lang w:val="en-US"/>
        </w:rPr>
        <w:t>capacitybuilding</w:t>
      </w:r>
      <w:proofErr w:type="spellEnd"/>
      <w:r w:rsidR="008B6F4B" w:rsidRPr="008B6F4B">
        <w:rPr>
          <w:rFonts w:ascii="Arial" w:hAnsi="Arial" w:cs="Arial"/>
          <w:b/>
          <w:sz w:val="21"/>
          <w:szCs w:val="21"/>
          <w:lang w:val="en-US"/>
        </w:rPr>
        <w:t xml:space="preserve"> in older age</w:t>
      </w:r>
      <w:r w:rsidR="008B6F4B">
        <w:rPr>
          <w:rFonts w:ascii="Arial" w:hAnsi="Arial" w:cs="Arial"/>
          <w:b/>
          <w:sz w:val="21"/>
          <w:szCs w:val="21"/>
          <w:lang w:val="en-US"/>
        </w:rPr>
        <w:t xml:space="preserve"> guaranteed in legal and policy framework?</w:t>
      </w:r>
      <w:r w:rsidRPr="008B6F4B">
        <w:rPr>
          <w:rFonts w:ascii="Arial" w:hAnsi="Arial" w:cs="Arial"/>
          <w:b/>
          <w:sz w:val="21"/>
          <w:szCs w:val="21"/>
          <w:lang w:val="en-US"/>
        </w:rPr>
        <w:t xml:space="preserve"> </w:t>
      </w:r>
    </w:p>
    <w:p w:rsidR="008B6F4B" w:rsidRDefault="008B6F4B" w:rsidP="00E80974">
      <w:pPr>
        <w:spacing w:line="240" w:lineRule="auto"/>
        <w:jc w:val="both"/>
        <w:rPr>
          <w:rFonts w:ascii="Arial" w:hAnsi="Arial" w:cs="Arial"/>
          <w:sz w:val="21"/>
          <w:szCs w:val="21"/>
          <w:lang w:val="en-US"/>
        </w:rPr>
      </w:pPr>
      <w:r w:rsidRPr="008B6F4B">
        <w:rPr>
          <w:rFonts w:ascii="Arial" w:hAnsi="Arial" w:cs="Arial"/>
          <w:sz w:val="21"/>
          <w:szCs w:val="21"/>
          <w:lang w:val="en-US"/>
        </w:rPr>
        <w:t xml:space="preserve">The Political Constitution of </w:t>
      </w:r>
      <w:r>
        <w:rPr>
          <w:rFonts w:ascii="Arial" w:hAnsi="Arial" w:cs="Arial"/>
          <w:sz w:val="21"/>
          <w:szCs w:val="21"/>
          <w:lang w:val="en-US"/>
        </w:rPr>
        <w:t>Mexico</w:t>
      </w:r>
      <w:r w:rsidRPr="008B6F4B">
        <w:rPr>
          <w:rFonts w:ascii="Arial" w:hAnsi="Arial" w:cs="Arial"/>
          <w:sz w:val="21"/>
          <w:szCs w:val="21"/>
          <w:lang w:val="en-US"/>
        </w:rPr>
        <w:t xml:space="preserve"> (CPEUM) in its article 3 recognizes the right to </w:t>
      </w:r>
      <w:r>
        <w:rPr>
          <w:rFonts w:ascii="Arial" w:hAnsi="Arial" w:cs="Arial"/>
          <w:sz w:val="21"/>
          <w:szCs w:val="21"/>
          <w:lang w:val="en-US"/>
        </w:rPr>
        <w:t xml:space="preserve">a </w:t>
      </w:r>
      <w:r w:rsidRPr="008B6F4B">
        <w:rPr>
          <w:rFonts w:ascii="Arial" w:hAnsi="Arial" w:cs="Arial"/>
          <w:sz w:val="21"/>
          <w:szCs w:val="21"/>
          <w:lang w:val="en-US"/>
        </w:rPr>
        <w:t>quality education</w:t>
      </w:r>
      <w:r>
        <w:rPr>
          <w:rFonts w:ascii="Arial" w:hAnsi="Arial" w:cs="Arial"/>
          <w:sz w:val="21"/>
          <w:szCs w:val="21"/>
          <w:lang w:val="en-US"/>
        </w:rPr>
        <w:t xml:space="preserve"> for everybody</w:t>
      </w:r>
      <w:r w:rsidRPr="008B6F4B">
        <w:rPr>
          <w:rFonts w:ascii="Arial" w:hAnsi="Arial" w:cs="Arial"/>
          <w:sz w:val="21"/>
          <w:szCs w:val="21"/>
          <w:lang w:val="en-US"/>
        </w:rPr>
        <w:t xml:space="preserve">, and establishes that the State will promote and attend all types and </w:t>
      </w:r>
      <w:r>
        <w:rPr>
          <w:rFonts w:ascii="Arial" w:hAnsi="Arial" w:cs="Arial"/>
          <w:sz w:val="21"/>
          <w:szCs w:val="21"/>
          <w:lang w:val="en-US"/>
        </w:rPr>
        <w:t xml:space="preserve">necessary </w:t>
      </w:r>
      <w:r w:rsidRPr="008B6F4B">
        <w:rPr>
          <w:rFonts w:ascii="Arial" w:hAnsi="Arial" w:cs="Arial"/>
          <w:sz w:val="21"/>
          <w:szCs w:val="21"/>
          <w:lang w:val="en-US"/>
        </w:rPr>
        <w:t xml:space="preserve">educational modalities for the development of the nation (section V, clause d). </w:t>
      </w:r>
    </w:p>
    <w:p w:rsidR="00E80974" w:rsidRPr="002B6A07" w:rsidRDefault="008B6F4B" w:rsidP="00E80974">
      <w:pPr>
        <w:spacing w:line="240" w:lineRule="auto"/>
        <w:jc w:val="both"/>
        <w:rPr>
          <w:rFonts w:ascii="Arial" w:hAnsi="Arial" w:cs="Arial"/>
          <w:sz w:val="21"/>
          <w:szCs w:val="21"/>
          <w:lang w:val="en-US"/>
        </w:rPr>
      </w:pPr>
      <w:r w:rsidRPr="008B6F4B">
        <w:rPr>
          <w:rFonts w:ascii="Arial" w:hAnsi="Arial" w:cs="Arial"/>
          <w:sz w:val="21"/>
          <w:szCs w:val="21"/>
          <w:lang w:val="en-US"/>
        </w:rPr>
        <w:t xml:space="preserve">Article 39 of the General Education Law (LGE) establishes that the national education system includes -among other modalities- adult education, which </w:t>
      </w:r>
      <w:r>
        <w:rPr>
          <w:rFonts w:ascii="Arial" w:hAnsi="Arial" w:cs="Arial"/>
          <w:sz w:val="21"/>
          <w:szCs w:val="21"/>
          <w:lang w:val="en-US"/>
        </w:rPr>
        <w:t>focused</w:t>
      </w:r>
      <w:r w:rsidRPr="008B6F4B">
        <w:rPr>
          <w:rFonts w:ascii="Arial" w:hAnsi="Arial" w:cs="Arial"/>
          <w:sz w:val="21"/>
          <w:szCs w:val="21"/>
          <w:lang w:val="en-US"/>
        </w:rPr>
        <w:t xml:space="preserve"> to people aged 15 and over who have not completed basic education (primary school and high school). </w:t>
      </w:r>
      <w:r w:rsidRPr="00907CC4">
        <w:rPr>
          <w:rFonts w:ascii="Arial" w:hAnsi="Arial" w:cs="Arial"/>
          <w:sz w:val="21"/>
          <w:szCs w:val="21"/>
          <w:lang w:val="en-US"/>
        </w:rPr>
        <w:t xml:space="preserve">This </w:t>
      </w:r>
      <w:proofErr w:type="gramStart"/>
      <w:r w:rsidRPr="00907CC4">
        <w:rPr>
          <w:rFonts w:ascii="Arial" w:hAnsi="Arial" w:cs="Arial"/>
          <w:sz w:val="21"/>
          <w:szCs w:val="21"/>
          <w:lang w:val="en-US"/>
        </w:rPr>
        <w:t>is provided</w:t>
      </w:r>
      <w:proofErr w:type="gramEnd"/>
      <w:r w:rsidRPr="00907CC4">
        <w:rPr>
          <w:rFonts w:ascii="Arial" w:hAnsi="Arial" w:cs="Arial"/>
          <w:sz w:val="21"/>
          <w:szCs w:val="21"/>
          <w:lang w:val="en-US"/>
        </w:rPr>
        <w:t xml:space="preserve"> through literacy services, primary and secondary education, as well as training for work whose objective is the acquisition of knowledge or skills to develop a productive activity demanded which must include people with disabilit</w:t>
      </w:r>
      <w:r w:rsidR="00907CC4" w:rsidRPr="00907CC4">
        <w:rPr>
          <w:rFonts w:ascii="Arial" w:hAnsi="Arial" w:cs="Arial"/>
          <w:sz w:val="21"/>
          <w:szCs w:val="21"/>
          <w:lang w:val="en-US"/>
        </w:rPr>
        <w:t>ies</w:t>
      </w:r>
      <w:r w:rsidRPr="00907CC4">
        <w:rPr>
          <w:rFonts w:ascii="Arial" w:hAnsi="Arial" w:cs="Arial"/>
          <w:sz w:val="21"/>
          <w:szCs w:val="21"/>
          <w:lang w:val="en-US"/>
        </w:rPr>
        <w:t xml:space="preserve"> (Art. 43 LGE).</w:t>
      </w:r>
      <w:r w:rsidR="00907CC4" w:rsidRPr="00907CC4">
        <w:rPr>
          <w:rFonts w:ascii="Arial" w:hAnsi="Arial" w:cs="Arial"/>
          <w:sz w:val="21"/>
          <w:szCs w:val="21"/>
          <w:lang w:val="en-US"/>
        </w:rPr>
        <w:t xml:space="preserve"> </w:t>
      </w:r>
    </w:p>
    <w:p w:rsidR="00907CC4" w:rsidRDefault="00907CC4" w:rsidP="00E80974">
      <w:pPr>
        <w:spacing w:line="240" w:lineRule="auto"/>
        <w:jc w:val="both"/>
        <w:rPr>
          <w:rFonts w:ascii="Arial" w:hAnsi="Arial" w:cs="Arial"/>
          <w:sz w:val="21"/>
          <w:szCs w:val="21"/>
          <w:lang w:val="en-US"/>
        </w:rPr>
      </w:pPr>
      <w:r w:rsidRPr="00907CC4">
        <w:rPr>
          <w:rFonts w:ascii="Arial" w:hAnsi="Arial" w:cs="Arial"/>
          <w:sz w:val="21"/>
          <w:szCs w:val="21"/>
          <w:lang w:val="en-US"/>
        </w:rPr>
        <w:t xml:space="preserve">On 1981, it </w:t>
      </w:r>
      <w:proofErr w:type="gramStart"/>
      <w:r w:rsidRPr="00907CC4">
        <w:rPr>
          <w:rFonts w:ascii="Arial" w:hAnsi="Arial" w:cs="Arial"/>
          <w:sz w:val="21"/>
          <w:szCs w:val="21"/>
          <w:lang w:val="en-US"/>
        </w:rPr>
        <w:t>was created</w:t>
      </w:r>
      <w:proofErr w:type="gramEnd"/>
      <w:r w:rsidRPr="00907CC4">
        <w:rPr>
          <w:rFonts w:ascii="Arial" w:hAnsi="Arial" w:cs="Arial"/>
          <w:sz w:val="21"/>
          <w:szCs w:val="21"/>
          <w:lang w:val="en-US"/>
        </w:rPr>
        <w:t xml:space="preserve"> the National Institute for the Education of Adults (INEA)</w:t>
      </w:r>
      <w:r w:rsidR="007E4602">
        <w:rPr>
          <w:rStyle w:val="Refdenotaalfinal"/>
          <w:rFonts w:ascii="Arial" w:hAnsi="Arial" w:cs="Arial"/>
          <w:sz w:val="21"/>
          <w:szCs w:val="21"/>
          <w:lang w:val="en-US"/>
        </w:rPr>
        <w:endnoteReference w:id="1"/>
      </w:r>
      <w:r w:rsidRPr="00907CC4">
        <w:rPr>
          <w:rFonts w:ascii="Arial" w:hAnsi="Arial" w:cs="Arial"/>
          <w:sz w:val="21"/>
          <w:szCs w:val="21"/>
          <w:lang w:val="en-US"/>
        </w:rPr>
        <w:t xml:space="preserve"> an organization whose objective is to promote, organize and impart basic education for people aged 15 and over. </w:t>
      </w:r>
    </w:p>
    <w:p w:rsidR="00044F9D" w:rsidRDefault="00044F9D" w:rsidP="00E80974">
      <w:pPr>
        <w:spacing w:line="240" w:lineRule="auto"/>
        <w:jc w:val="both"/>
        <w:rPr>
          <w:rFonts w:ascii="Arial" w:hAnsi="Arial" w:cs="Arial"/>
          <w:sz w:val="21"/>
          <w:szCs w:val="21"/>
          <w:lang w:val="en-US"/>
        </w:rPr>
      </w:pPr>
      <w:proofErr w:type="gramStart"/>
      <w:r w:rsidRPr="00044F9D">
        <w:rPr>
          <w:rFonts w:ascii="Arial" w:hAnsi="Arial" w:cs="Arial"/>
          <w:sz w:val="21"/>
          <w:szCs w:val="21"/>
          <w:lang w:val="en-US"/>
        </w:rPr>
        <w:t xml:space="preserve">The Law on the Rights of Older Persons (LDPAM), recognizes their preferential right to receive education (Article 5, section IV), and establishes that the Ministry of Public Education (SEP) </w:t>
      </w:r>
      <w:r>
        <w:rPr>
          <w:rFonts w:ascii="Arial" w:hAnsi="Arial" w:cs="Arial"/>
          <w:sz w:val="21"/>
          <w:szCs w:val="21"/>
          <w:lang w:val="en-US"/>
        </w:rPr>
        <w:t xml:space="preserve">must </w:t>
      </w:r>
      <w:r w:rsidRPr="00044F9D">
        <w:rPr>
          <w:rFonts w:ascii="Arial" w:hAnsi="Arial" w:cs="Arial"/>
          <w:sz w:val="21"/>
          <w:szCs w:val="21"/>
          <w:lang w:val="en-US"/>
        </w:rPr>
        <w:t>guarantee access to this population group to public education in all levels and modalities, as well as to any other activity that contribute to its intellectual development and allows its members to maintain a constant learning attitude, and take advantage of any education and training opportunities to their personal fulfillment ( Art. 17).</w:t>
      </w:r>
      <w:proofErr w:type="gramEnd"/>
      <w:r>
        <w:rPr>
          <w:rFonts w:ascii="Arial" w:hAnsi="Arial" w:cs="Arial"/>
          <w:sz w:val="21"/>
          <w:szCs w:val="21"/>
          <w:lang w:val="en-US"/>
        </w:rPr>
        <w:t xml:space="preserve">  </w:t>
      </w:r>
      <w:proofErr w:type="gramStart"/>
      <w:r w:rsidRPr="00044F9D">
        <w:rPr>
          <w:rFonts w:ascii="Arial" w:hAnsi="Arial" w:cs="Arial"/>
          <w:sz w:val="21"/>
          <w:szCs w:val="21"/>
          <w:lang w:val="en-US"/>
        </w:rPr>
        <w:t>The</w:t>
      </w:r>
      <w:r w:rsidR="00E80974" w:rsidRPr="00044F9D">
        <w:rPr>
          <w:rFonts w:ascii="Arial" w:hAnsi="Arial" w:cs="Arial"/>
          <w:sz w:val="21"/>
          <w:szCs w:val="21"/>
          <w:lang w:val="en-US"/>
        </w:rPr>
        <w:t xml:space="preserve"> LDPAM </w:t>
      </w:r>
      <w:r w:rsidRPr="00044F9D">
        <w:rPr>
          <w:rFonts w:ascii="Arial" w:hAnsi="Arial" w:cs="Arial"/>
          <w:sz w:val="21"/>
          <w:szCs w:val="21"/>
          <w:lang w:val="en-US"/>
        </w:rPr>
        <w:t xml:space="preserve">establishes the right of older people to participate in productive, educational and training processes of their community (Article 5, section VII, clause c.), </w:t>
      </w:r>
      <w:r>
        <w:rPr>
          <w:rFonts w:ascii="Arial" w:hAnsi="Arial" w:cs="Arial"/>
          <w:sz w:val="21"/>
          <w:szCs w:val="21"/>
          <w:lang w:val="en-US"/>
        </w:rPr>
        <w:t>It</w:t>
      </w:r>
      <w:r w:rsidRPr="00044F9D">
        <w:rPr>
          <w:rFonts w:ascii="Arial" w:hAnsi="Arial" w:cs="Arial"/>
          <w:sz w:val="21"/>
          <w:szCs w:val="21"/>
          <w:lang w:val="en-US"/>
        </w:rPr>
        <w:t xml:space="preserve"> stipulates that one of the objectives of the national public policy should be to promote and encourage special education programs and training scholarships for work to be reincorporated into the productive plant of the country and its professional development (Article 10, section XV).</w:t>
      </w:r>
      <w:proofErr w:type="gramEnd"/>
      <w:r>
        <w:rPr>
          <w:rFonts w:ascii="Arial" w:hAnsi="Arial" w:cs="Arial"/>
          <w:sz w:val="21"/>
          <w:szCs w:val="21"/>
          <w:lang w:val="en-US"/>
        </w:rPr>
        <w:t xml:space="preserve"> </w:t>
      </w:r>
    </w:p>
    <w:p w:rsidR="00044F9D" w:rsidRDefault="00044F9D" w:rsidP="00E80974">
      <w:pPr>
        <w:spacing w:line="240" w:lineRule="auto"/>
        <w:jc w:val="both"/>
        <w:rPr>
          <w:rFonts w:ascii="Arial" w:hAnsi="Arial" w:cs="Arial"/>
          <w:sz w:val="21"/>
          <w:szCs w:val="21"/>
          <w:lang w:val="en-US"/>
        </w:rPr>
      </w:pPr>
      <w:r>
        <w:rPr>
          <w:rFonts w:ascii="Arial" w:hAnsi="Arial" w:cs="Arial"/>
          <w:sz w:val="21"/>
          <w:szCs w:val="21"/>
          <w:lang w:val="en-US"/>
        </w:rPr>
        <w:t>This</w:t>
      </w:r>
      <w:r w:rsidRPr="00044F9D">
        <w:rPr>
          <w:rFonts w:ascii="Arial" w:hAnsi="Arial" w:cs="Arial"/>
          <w:sz w:val="21"/>
          <w:szCs w:val="21"/>
          <w:lang w:val="en-US"/>
        </w:rPr>
        <w:t xml:space="preserve"> also obliges the Ministry of Labor to promote the development of training programs for older people to acquire knowledge and skills in the field of formulation and execution of productive projects, and training and financing for self-employment, through scholarships, family workshops, official and private employment exchanges (Art. 19, fractions III and VI).</w:t>
      </w:r>
    </w:p>
    <w:p w:rsidR="00E80974" w:rsidRPr="00843288" w:rsidRDefault="00044F9D" w:rsidP="00E80974">
      <w:pPr>
        <w:spacing w:line="240" w:lineRule="auto"/>
        <w:jc w:val="both"/>
        <w:rPr>
          <w:rFonts w:ascii="Arial" w:hAnsi="Arial" w:cs="Arial"/>
          <w:sz w:val="21"/>
          <w:szCs w:val="21"/>
          <w:lang w:val="en-US"/>
        </w:rPr>
      </w:pPr>
      <w:r w:rsidRPr="00044F9D">
        <w:rPr>
          <w:rFonts w:ascii="Arial" w:hAnsi="Arial" w:cs="Arial"/>
          <w:sz w:val="21"/>
          <w:szCs w:val="21"/>
          <w:lang w:val="en-US"/>
        </w:rPr>
        <w:t>On public policies, the INEA is in charge of the Model of Education for Life and Work through which people can complete elementary and secondary education online and obtain their official certificate</w:t>
      </w:r>
      <w:r w:rsidR="007E4602">
        <w:rPr>
          <w:rStyle w:val="Refdenotaalfinal"/>
          <w:rFonts w:ascii="Arial" w:hAnsi="Arial" w:cs="Arial"/>
          <w:sz w:val="21"/>
          <w:szCs w:val="21"/>
          <w:lang w:val="en-US"/>
        </w:rPr>
        <w:endnoteReference w:id="2"/>
      </w:r>
      <w:r w:rsidRPr="00044F9D">
        <w:rPr>
          <w:rFonts w:ascii="Arial" w:hAnsi="Arial" w:cs="Arial"/>
          <w:sz w:val="21"/>
          <w:szCs w:val="21"/>
          <w:lang w:val="en-US"/>
        </w:rPr>
        <w:t>. Since 2015, the INEA has been working on the development of an Educational Model for Older Adults, for which it formed a Committee of specialists composed of representatives of various institutions, with lines of work aimed at studies in gerontology, social protection and family relations</w:t>
      </w:r>
      <w:r w:rsidR="007E4602">
        <w:rPr>
          <w:rStyle w:val="Refdenotaalfinal"/>
          <w:rFonts w:ascii="Arial" w:hAnsi="Arial" w:cs="Arial"/>
          <w:sz w:val="21"/>
          <w:szCs w:val="21"/>
          <w:lang w:val="en-US"/>
        </w:rPr>
        <w:endnoteReference w:id="3"/>
      </w:r>
      <w:r w:rsidRPr="00044F9D">
        <w:rPr>
          <w:rFonts w:ascii="Arial" w:hAnsi="Arial" w:cs="Arial"/>
          <w:sz w:val="21"/>
          <w:szCs w:val="21"/>
          <w:lang w:val="en-US"/>
        </w:rPr>
        <w:t>. As of 2016, it promotes the Special Certification Program based on Equivalent Acquired Learning at the Primary and Secondary Level</w:t>
      </w:r>
      <w:r w:rsidR="00843288">
        <w:rPr>
          <w:rStyle w:val="Refdenotaalfinal"/>
          <w:rFonts w:ascii="Arial" w:hAnsi="Arial" w:cs="Arial"/>
          <w:sz w:val="21"/>
          <w:szCs w:val="21"/>
          <w:lang w:val="en-US"/>
        </w:rPr>
        <w:endnoteReference w:id="4"/>
      </w:r>
      <w:r w:rsidRPr="00044F9D">
        <w:rPr>
          <w:rFonts w:ascii="Arial" w:hAnsi="Arial" w:cs="Arial"/>
          <w:sz w:val="21"/>
          <w:szCs w:val="21"/>
          <w:lang w:val="en-US"/>
        </w:rPr>
        <w:t xml:space="preserve">, which includes, as a specific item, the care of people over 65. </w:t>
      </w:r>
    </w:p>
    <w:p w:rsidR="00044F9D" w:rsidRPr="003831B0" w:rsidRDefault="00044F9D" w:rsidP="00044F9D">
      <w:pPr>
        <w:spacing w:line="240" w:lineRule="auto"/>
        <w:jc w:val="both"/>
        <w:rPr>
          <w:rFonts w:ascii="Arial" w:hAnsi="Arial" w:cs="Arial"/>
          <w:b/>
          <w:sz w:val="21"/>
          <w:szCs w:val="21"/>
          <w:lang w:val="en-US"/>
        </w:rPr>
      </w:pPr>
      <w:r w:rsidRPr="003831B0">
        <w:rPr>
          <w:rFonts w:ascii="Arial" w:hAnsi="Arial" w:cs="Arial"/>
          <w:b/>
          <w:sz w:val="21"/>
          <w:szCs w:val="21"/>
          <w:lang w:val="en-US"/>
        </w:rPr>
        <w:t>Availability, accessibility and adaptability</w:t>
      </w:r>
    </w:p>
    <w:p w:rsidR="00E80974" w:rsidRPr="00057476" w:rsidRDefault="00057476" w:rsidP="00044F9D">
      <w:pPr>
        <w:spacing w:line="240" w:lineRule="auto"/>
        <w:jc w:val="both"/>
        <w:rPr>
          <w:rFonts w:ascii="Arial" w:hAnsi="Arial" w:cs="Arial"/>
          <w:b/>
          <w:sz w:val="21"/>
          <w:szCs w:val="21"/>
          <w:lang w:val="en-US"/>
        </w:rPr>
      </w:pPr>
      <w:r>
        <w:rPr>
          <w:rFonts w:ascii="Arial" w:hAnsi="Arial" w:cs="Arial"/>
          <w:b/>
          <w:sz w:val="21"/>
          <w:szCs w:val="21"/>
          <w:lang w:val="en-US"/>
        </w:rPr>
        <w:t xml:space="preserve">1. </w:t>
      </w:r>
      <w:r w:rsidR="007E4602" w:rsidRPr="007E4602">
        <w:rPr>
          <w:rFonts w:ascii="Arial" w:hAnsi="Arial" w:cs="Arial"/>
          <w:b/>
          <w:sz w:val="21"/>
          <w:szCs w:val="21"/>
          <w:lang w:val="en-US"/>
        </w:rPr>
        <w:t xml:space="preserve">Which are the key problems and challenges facing older people in your country / region regarding the enjoyment of all levels of quality education, training, lifelong learning and capacity development services? </w:t>
      </w:r>
    </w:p>
    <w:p w:rsidR="00E80974" w:rsidRPr="003831B0" w:rsidRDefault="007E4602" w:rsidP="00E80974">
      <w:pPr>
        <w:spacing w:line="240" w:lineRule="auto"/>
        <w:jc w:val="both"/>
        <w:rPr>
          <w:rFonts w:ascii="Arial" w:hAnsi="Arial" w:cs="Arial"/>
          <w:sz w:val="21"/>
          <w:szCs w:val="21"/>
          <w:lang w:val="en-US"/>
        </w:rPr>
      </w:pPr>
      <w:r w:rsidRPr="007E4602">
        <w:rPr>
          <w:rFonts w:ascii="Arial" w:hAnsi="Arial" w:cs="Arial"/>
          <w:b/>
          <w:sz w:val="21"/>
          <w:szCs w:val="21"/>
          <w:lang w:val="en-US"/>
        </w:rPr>
        <w:t>a) Poverty</w:t>
      </w:r>
      <w:r>
        <w:rPr>
          <w:rFonts w:ascii="Arial" w:hAnsi="Arial" w:cs="Arial"/>
          <w:b/>
          <w:sz w:val="21"/>
          <w:szCs w:val="21"/>
          <w:lang w:val="en-US"/>
        </w:rPr>
        <w:t>.</w:t>
      </w:r>
      <w:r w:rsidRPr="007E4602">
        <w:rPr>
          <w:rFonts w:ascii="Arial" w:hAnsi="Arial" w:cs="Arial"/>
          <w:b/>
          <w:sz w:val="21"/>
          <w:szCs w:val="21"/>
          <w:lang w:val="en-US"/>
        </w:rPr>
        <w:t xml:space="preserve"> </w:t>
      </w:r>
      <w:r w:rsidRPr="00843288">
        <w:rPr>
          <w:rFonts w:ascii="Arial" w:hAnsi="Arial" w:cs="Arial"/>
          <w:sz w:val="21"/>
          <w:szCs w:val="21"/>
          <w:lang w:val="en-US"/>
        </w:rPr>
        <w:t>The numbers from the National Council for the Evaluation of Social Development Policy estimate that, in 2016, 41.1% of the population over 65 lived in poverty, of which 34.6% suffered moderate poverty and 6.6% extreme poverty. Likewise, 68.4% had at least one social deprivation, the most important being the educational backlog (57.1%).</w:t>
      </w:r>
      <w:r w:rsidR="00E80974" w:rsidRPr="00843288">
        <w:rPr>
          <w:rStyle w:val="Refdenotaalfinal"/>
          <w:rFonts w:ascii="Arial" w:hAnsi="Arial" w:cs="Arial"/>
          <w:sz w:val="21"/>
          <w:szCs w:val="21"/>
        </w:rPr>
        <w:endnoteReference w:id="5"/>
      </w:r>
    </w:p>
    <w:p w:rsidR="00E80974" w:rsidRPr="00843288" w:rsidRDefault="00E80974" w:rsidP="00E80974">
      <w:pPr>
        <w:spacing w:line="240" w:lineRule="auto"/>
        <w:jc w:val="both"/>
        <w:rPr>
          <w:rFonts w:ascii="Arial" w:hAnsi="Arial" w:cs="Arial"/>
          <w:sz w:val="21"/>
          <w:szCs w:val="21"/>
          <w:lang w:val="en-US"/>
        </w:rPr>
      </w:pPr>
      <w:r w:rsidRPr="00843288">
        <w:rPr>
          <w:rFonts w:ascii="Arial" w:hAnsi="Arial" w:cs="Arial"/>
          <w:b/>
          <w:sz w:val="21"/>
          <w:szCs w:val="21"/>
          <w:lang w:val="en-US"/>
        </w:rPr>
        <w:lastRenderedPageBreak/>
        <w:t xml:space="preserve">b) </w:t>
      </w:r>
      <w:r w:rsidR="00843288" w:rsidRPr="00843288">
        <w:rPr>
          <w:rFonts w:ascii="Arial" w:hAnsi="Arial" w:cs="Arial"/>
          <w:b/>
          <w:sz w:val="21"/>
          <w:szCs w:val="21"/>
          <w:lang w:val="en-US"/>
        </w:rPr>
        <w:t>Gender inequality</w:t>
      </w:r>
      <w:r w:rsidR="00843288" w:rsidRPr="00843288">
        <w:rPr>
          <w:rFonts w:ascii="Arial" w:hAnsi="Arial" w:cs="Arial"/>
          <w:sz w:val="21"/>
          <w:szCs w:val="21"/>
          <w:lang w:val="en-US"/>
        </w:rPr>
        <w:t xml:space="preserve"> The National Survey on Discrimination (ENADIS) 2017, reveals that 14.7% men and 19.9% women over 60 years</w:t>
      </w:r>
      <w:r w:rsidR="00843288">
        <w:rPr>
          <w:rFonts w:ascii="Arial" w:hAnsi="Arial" w:cs="Arial"/>
          <w:sz w:val="21"/>
          <w:szCs w:val="21"/>
          <w:lang w:val="en-US"/>
        </w:rPr>
        <w:t>,</w:t>
      </w:r>
      <w:r w:rsidR="00843288" w:rsidRPr="00843288">
        <w:rPr>
          <w:rFonts w:ascii="Arial" w:hAnsi="Arial" w:cs="Arial"/>
          <w:sz w:val="21"/>
          <w:szCs w:val="21"/>
          <w:lang w:val="en-US"/>
        </w:rPr>
        <w:t xml:space="preserve"> do not know how to read and write.</w:t>
      </w:r>
      <w:r w:rsidRPr="004C757E">
        <w:rPr>
          <w:rStyle w:val="Refdenotaalfinal"/>
          <w:rFonts w:ascii="Arial" w:hAnsi="Arial" w:cs="Arial"/>
          <w:sz w:val="21"/>
          <w:szCs w:val="21"/>
        </w:rPr>
        <w:endnoteReference w:id="6"/>
      </w:r>
    </w:p>
    <w:p w:rsidR="00843288" w:rsidRDefault="00E80974" w:rsidP="00E80974">
      <w:pPr>
        <w:spacing w:line="240" w:lineRule="auto"/>
        <w:jc w:val="both"/>
        <w:rPr>
          <w:rFonts w:ascii="Arial" w:hAnsi="Arial" w:cs="Arial"/>
          <w:sz w:val="21"/>
          <w:szCs w:val="21"/>
          <w:lang w:val="en-US"/>
        </w:rPr>
      </w:pPr>
      <w:r w:rsidRPr="00843288">
        <w:rPr>
          <w:rFonts w:ascii="Arial" w:hAnsi="Arial" w:cs="Arial"/>
          <w:b/>
          <w:sz w:val="21"/>
          <w:szCs w:val="21"/>
          <w:lang w:val="en-US"/>
        </w:rPr>
        <w:t>c)</w:t>
      </w:r>
      <w:r w:rsidRPr="00843288">
        <w:rPr>
          <w:rFonts w:ascii="Arial" w:hAnsi="Arial" w:cs="Arial"/>
          <w:sz w:val="21"/>
          <w:szCs w:val="21"/>
          <w:lang w:val="en-US"/>
        </w:rPr>
        <w:t xml:space="preserve"> </w:t>
      </w:r>
      <w:r w:rsidR="00843288" w:rsidRPr="00843288">
        <w:rPr>
          <w:rFonts w:ascii="Arial" w:hAnsi="Arial" w:cs="Arial"/>
          <w:b/>
          <w:sz w:val="21"/>
          <w:szCs w:val="21"/>
          <w:lang w:val="en-US"/>
        </w:rPr>
        <w:t>Disability</w:t>
      </w:r>
      <w:r w:rsidR="00843288">
        <w:rPr>
          <w:rFonts w:ascii="Arial" w:hAnsi="Arial" w:cs="Arial"/>
          <w:b/>
          <w:sz w:val="21"/>
          <w:szCs w:val="21"/>
          <w:lang w:val="en-US"/>
        </w:rPr>
        <w:t>.</w:t>
      </w:r>
      <w:r w:rsidR="00843288" w:rsidRPr="00843288">
        <w:rPr>
          <w:rFonts w:ascii="Arial" w:hAnsi="Arial" w:cs="Arial"/>
          <w:sz w:val="21"/>
          <w:szCs w:val="21"/>
          <w:lang w:val="en-US"/>
        </w:rPr>
        <w:t xml:space="preserve"> </w:t>
      </w:r>
      <w:r w:rsidR="00843288">
        <w:rPr>
          <w:rFonts w:ascii="Arial" w:hAnsi="Arial" w:cs="Arial"/>
          <w:sz w:val="21"/>
          <w:szCs w:val="21"/>
          <w:lang w:val="en-US"/>
        </w:rPr>
        <w:t>Numbers</w:t>
      </w:r>
      <w:r w:rsidR="00843288" w:rsidRPr="00843288">
        <w:rPr>
          <w:rFonts w:ascii="Arial" w:hAnsi="Arial" w:cs="Arial"/>
          <w:sz w:val="21"/>
          <w:szCs w:val="21"/>
          <w:lang w:val="en-US"/>
        </w:rPr>
        <w:t xml:space="preserve"> from the National Institute of Geography and Statistics (INEGI, 2015) warn that 26% of the population over 60 years or </w:t>
      </w:r>
      <w:proofErr w:type="gramStart"/>
      <w:r w:rsidR="00843288" w:rsidRPr="00843288">
        <w:rPr>
          <w:rFonts w:ascii="Arial" w:hAnsi="Arial" w:cs="Arial"/>
          <w:sz w:val="21"/>
          <w:szCs w:val="21"/>
          <w:lang w:val="en-US"/>
        </w:rPr>
        <w:t>more</w:t>
      </w:r>
      <w:r w:rsidR="00843288">
        <w:rPr>
          <w:rFonts w:ascii="Arial" w:hAnsi="Arial" w:cs="Arial"/>
          <w:sz w:val="21"/>
          <w:szCs w:val="21"/>
          <w:lang w:val="en-US"/>
        </w:rPr>
        <w:t>,</w:t>
      </w:r>
      <w:proofErr w:type="gramEnd"/>
      <w:r w:rsidR="00843288" w:rsidRPr="00843288">
        <w:rPr>
          <w:rFonts w:ascii="Arial" w:hAnsi="Arial" w:cs="Arial"/>
          <w:sz w:val="21"/>
          <w:szCs w:val="21"/>
          <w:lang w:val="en-US"/>
        </w:rPr>
        <w:t xml:space="preserve"> had a disability. </w:t>
      </w:r>
      <w:r w:rsidR="00843288">
        <w:rPr>
          <w:rFonts w:ascii="Arial" w:hAnsi="Arial" w:cs="Arial"/>
          <w:sz w:val="21"/>
          <w:szCs w:val="21"/>
          <w:lang w:val="en-US"/>
        </w:rPr>
        <w:t>There is</w:t>
      </w:r>
      <w:r w:rsidR="00843288" w:rsidRPr="00843288">
        <w:rPr>
          <w:rFonts w:ascii="Arial" w:hAnsi="Arial" w:cs="Arial"/>
          <w:sz w:val="21"/>
          <w:szCs w:val="21"/>
          <w:lang w:val="en-US"/>
        </w:rPr>
        <w:t xml:space="preserve"> a higher prevalence of disability in female (27.5%) than male (24.2%). </w:t>
      </w:r>
    </w:p>
    <w:p w:rsidR="00E80974" w:rsidRPr="00057476" w:rsidRDefault="00E80974" w:rsidP="00E80974">
      <w:pPr>
        <w:spacing w:line="240" w:lineRule="auto"/>
        <w:jc w:val="both"/>
        <w:rPr>
          <w:rFonts w:ascii="Arial" w:hAnsi="Arial" w:cs="Arial"/>
          <w:sz w:val="21"/>
          <w:szCs w:val="21"/>
          <w:lang w:val="en-US"/>
        </w:rPr>
      </w:pPr>
      <w:r w:rsidRPr="00843288">
        <w:rPr>
          <w:rFonts w:ascii="Arial" w:hAnsi="Arial" w:cs="Arial"/>
          <w:b/>
          <w:sz w:val="21"/>
          <w:szCs w:val="21"/>
          <w:lang w:val="en-US"/>
        </w:rPr>
        <w:t xml:space="preserve">d) </w:t>
      </w:r>
      <w:r w:rsidR="00843288" w:rsidRPr="00843288">
        <w:rPr>
          <w:rFonts w:ascii="Arial" w:hAnsi="Arial" w:cs="Arial"/>
          <w:b/>
          <w:sz w:val="21"/>
          <w:szCs w:val="21"/>
          <w:lang w:val="en-US"/>
        </w:rPr>
        <w:t xml:space="preserve">Discrimination due to age. </w:t>
      </w:r>
      <w:proofErr w:type="gramStart"/>
      <w:r w:rsidR="00843288" w:rsidRPr="00843288">
        <w:rPr>
          <w:rFonts w:ascii="Arial" w:hAnsi="Arial" w:cs="Arial"/>
          <w:sz w:val="21"/>
          <w:szCs w:val="21"/>
          <w:lang w:val="en-US"/>
        </w:rPr>
        <w:t>The ENADIS 2017 reflects that 13.1% of interviewees reported having been discriminated in their work and school during the year prior to the survey; 89.4% think that older people find it hard to use technology; 82% consider that the majority of people easily despair with the elderly, and 40.6% said they have been denied access to scholarships and other social supports</w:t>
      </w:r>
      <w:r w:rsidRPr="00057476">
        <w:rPr>
          <w:rFonts w:ascii="Arial" w:hAnsi="Arial" w:cs="Arial"/>
          <w:sz w:val="21"/>
          <w:szCs w:val="21"/>
          <w:lang w:val="en-US"/>
        </w:rPr>
        <w:t>.</w:t>
      </w:r>
      <w:r w:rsidRPr="004C757E">
        <w:rPr>
          <w:rStyle w:val="Refdenotaalfinal"/>
          <w:rFonts w:ascii="Arial" w:hAnsi="Arial" w:cs="Arial"/>
          <w:sz w:val="21"/>
          <w:szCs w:val="21"/>
        </w:rPr>
        <w:endnoteReference w:id="7"/>
      </w:r>
      <w:proofErr w:type="gramEnd"/>
    </w:p>
    <w:p w:rsidR="00057476" w:rsidRPr="00057476" w:rsidRDefault="00057476" w:rsidP="00F01A5D">
      <w:pPr>
        <w:pStyle w:val="Prrafodelista"/>
        <w:numPr>
          <w:ilvl w:val="0"/>
          <w:numId w:val="4"/>
        </w:numPr>
        <w:spacing w:line="240" w:lineRule="auto"/>
        <w:jc w:val="both"/>
        <w:rPr>
          <w:rFonts w:ascii="Arial" w:hAnsi="Arial" w:cs="Arial"/>
          <w:sz w:val="21"/>
          <w:szCs w:val="21"/>
          <w:lang w:val="en-US"/>
        </w:rPr>
      </w:pPr>
      <w:r w:rsidRPr="00057476">
        <w:rPr>
          <w:rFonts w:ascii="Arial" w:hAnsi="Arial" w:cs="Arial"/>
          <w:b/>
          <w:sz w:val="21"/>
          <w:szCs w:val="21"/>
          <w:lang w:val="en-US"/>
        </w:rPr>
        <w:t xml:space="preserve"> What measures have been taken to ensure that education, lifelong learning and capacity building services are available and accessible to all older persons, adapted to their needs, appropriate to their preferences and motivations , and of high quality</w:t>
      </w:r>
    </w:p>
    <w:p w:rsidR="00E80974" w:rsidRPr="00057476" w:rsidRDefault="00057476" w:rsidP="00057476">
      <w:pPr>
        <w:spacing w:line="240" w:lineRule="auto"/>
        <w:jc w:val="both"/>
        <w:rPr>
          <w:rFonts w:ascii="Arial" w:hAnsi="Arial" w:cs="Arial"/>
          <w:sz w:val="21"/>
          <w:szCs w:val="21"/>
          <w:lang w:val="en-US"/>
        </w:rPr>
      </w:pPr>
      <w:r w:rsidRPr="00057476">
        <w:rPr>
          <w:rFonts w:ascii="Arial" w:hAnsi="Arial" w:cs="Arial"/>
          <w:sz w:val="21"/>
          <w:szCs w:val="21"/>
          <w:lang w:val="en-US"/>
        </w:rPr>
        <w:t xml:space="preserve">Through public policies, see question 1 above. According to the National Institute for Educational Evaluation, from 2015 to 2016 the amount earmarked for adult education </w:t>
      </w:r>
      <w:proofErr w:type="gramStart"/>
      <w:r w:rsidRPr="00057476">
        <w:rPr>
          <w:rFonts w:ascii="Arial" w:hAnsi="Arial" w:cs="Arial"/>
          <w:sz w:val="21"/>
          <w:szCs w:val="21"/>
          <w:lang w:val="en-US"/>
        </w:rPr>
        <w:t>was reduced</w:t>
      </w:r>
      <w:proofErr w:type="gramEnd"/>
      <w:r w:rsidRPr="00057476">
        <w:rPr>
          <w:rFonts w:ascii="Arial" w:hAnsi="Arial" w:cs="Arial"/>
          <w:sz w:val="21"/>
          <w:szCs w:val="21"/>
          <w:lang w:val="en-US"/>
        </w:rPr>
        <w:t>, despite the fact that 35.2% of the population aged 15 and over lacked secondary education in 2015</w:t>
      </w:r>
      <w:r w:rsidR="00E80974" w:rsidRPr="004C757E">
        <w:rPr>
          <w:rStyle w:val="Refdenotaalfinal"/>
          <w:rFonts w:ascii="Arial" w:hAnsi="Arial" w:cs="Arial"/>
          <w:sz w:val="21"/>
          <w:szCs w:val="21"/>
        </w:rPr>
        <w:endnoteReference w:id="8"/>
      </w:r>
    </w:p>
    <w:p w:rsidR="00057476" w:rsidRPr="003831B0" w:rsidRDefault="00057476" w:rsidP="00604254">
      <w:pPr>
        <w:pStyle w:val="Prrafodelista"/>
        <w:numPr>
          <w:ilvl w:val="0"/>
          <w:numId w:val="4"/>
        </w:numPr>
        <w:spacing w:line="240" w:lineRule="auto"/>
        <w:jc w:val="both"/>
        <w:rPr>
          <w:rFonts w:ascii="Arial" w:hAnsi="Arial" w:cs="Arial"/>
          <w:sz w:val="21"/>
          <w:szCs w:val="21"/>
          <w:lang w:val="en-US"/>
        </w:rPr>
      </w:pPr>
      <w:r w:rsidRPr="00057476">
        <w:rPr>
          <w:rFonts w:ascii="Arial" w:hAnsi="Arial" w:cs="Arial"/>
          <w:b/>
          <w:sz w:val="21"/>
          <w:szCs w:val="21"/>
          <w:lang w:val="en-US"/>
        </w:rPr>
        <w:t xml:space="preserve">In your country / region, are there studies and / or data available to older adults available on the right to education, training, lifelong learning and capacity building in old age? </w:t>
      </w:r>
    </w:p>
    <w:p w:rsidR="00E80974" w:rsidRPr="003831B0" w:rsidRDefault="00E80974" w:rsidP="00057476">
      <w:pPr>
        <w:spacing w:line="240" w:lineRule="auto"/>
        <w:jc w:val="both"/>
        <w:rPr>
          <w:rFonts w:ascii="Arial" w:hAnsi="Arial" w:cs="Arial"/>
          <w:sz w:val="21"/>
          <w:szCs w:val="21"/>
          <w:lang w:val="en-US"/>
        </w:rPr>
      </w:pPr>
      <w:r w:rsidRPr="00057476">
        <w:rPr>
          <w:rFonts w:ascii="Arial" w:hAnsi="Arial" w:cs="Arial"/>
          <w:sz w:val="21"/>
          <w:szCs w:val="21"/>
          <w:lang w:val="en-US"/>
        </w:rPr>
        <w:t xml:space="preserve">a) </w:t>
      </w:r>
      <w:r w:rsidR="00057476" w:rsidRPr="00057476">
        <w:rPr>
          <w:rFonts w:ascii="Arial" w:hAnsi="Arial" w:cs="Arial"/>
          <w:sz w:val="21"/>
          <w:szCs w:val="21"/>
          <w:lang w:val="en-US"/>
        </w:rPr>
        <w:t xml:space="preserve">The "Open Data" Platform contains information on INEA programs, available at the following link https://datos.gob.mx/busca/dataset?q=inea&amp;. INEGI has the results of several surveys and censuses in its web portal http://www.beta.inegi.org.mx/temas/educacion/. In spite of this, it is necessary to improve accessibility conditions so that </w:t>
      </w:r>
      <w:proofErr w:type="gramStart"/>
      <w:r w:rsidR="00057476" w:rsidRPr="00057476">
        <w:rPr>
          <w:rFonts w:ascii="Arial" w:hAnsi="Arial" w:cs="Arial"/>
          <w:sz w:val="21"/>
          <w:szCs w:val="21"/>
          <w:lang w:val="en-US"/>
        </w:rPr>
        <w:t>they can be consulted by the elderly</w:t>
      </w:r>
      <w:proofErr w:type="gramEnd"/>
      <w:r w:rsidR="00057476" w:rsidRPr="00057476">
        <w:rPr>
          <w:rFonts w:ascii="Arial" w:hAnsi="Arial" w:cs="Arial"/>
          <w:sz w:val="21"/>
          <w:szCs w:val="21"/>
          <w:lang w:val="en-US"/>
        </w:rPr>
        <w:t>.</w:t>
      </w:r>
      <w:r w:rsidR="00057476">
        <w:rPr>
          <w:rFonts w:ascii="Arial" w:hAnsi="Arial" w:cs="Arial"/>
          <w:sz w:val="21"/>
          <w:szCs w:val="21"/>
          <w:lang w:val="en-US"/>
        </w:rPr>
        <w:t xml:space="preserve"> </w:t>
      </w:r>
    </w:p>
    <w:p w:rsidR="00E80974" w:rsidRPr="00773030" w:rsidRDefault="00E80974" w:rsidP="00E80974">
      <w:pPr>
        <w:spacing w:line="240" w:lineRule="auto"/>
        <w:jc w:val="both"/>
        <w:rPr>
          <w:rFonts w:ascii="Arial" w:hAnsi="Arial" w:cs="Arial"/>
          <w:sz w:val="21"/>
          <w:szCs w:val="21"/>
          <w:lang w:val="en-US"/>
        </w:rPr>
      </w:pPr>
      <w:r w:rsidRPr="00057476">
        <w:rPr>
          <w:rFonts w:ascii="Arial" w:hAnsi="Arial" w:cs="Arial"/>
          <w:sz w:val="21"/>
          <w:szCs w:val="21"/>
          <w:lang w:val="en-US"/>
        </w:rPr>
        <w:t>b)</w:t>
      </w:r>
      <w:r w:rsidR="00057476" w:rsidRPr="00057476">
        <w:rPr>
          <w:lang w:val="en-US"/>
        </w:rPr>
        <w:t xml:space="preserve"> </w:t>
      </w:r>
      <w:r w:rsidR="00057476" w:rsidRPr="00773030">
        <w:rPr>
          <w:rFonts w:ascii="Arial" w:hAnsi="Arial" w:cs="Arial"/>
          <w:b/>
          <w:sz w:val="21"/>
          <w:szCs w:val="21"/>
          <w:lang w:val="en-US"/>
        </w:rPr>
        <w:t xml:space="preserve">The National Human Rights </w:t>
      </w:r>
      <w:r w:rsidR="00773030" w:rsidRPr="00773030">
        <w:rPr>
          <w:rFonts w:ascii="Arial" w:hAnsi="Arial" w:cs="Arial"/>
          <w:b/>
          <w:sz w:val="21"/>
          <w:szCs w:val="21"/>
          <w:lang w:val="en-US"/>
        </w:rPr>
        <w:t>Commission</w:t>
      </w:r>
      <w:r w:rsidR="00773030">
        <w:rPr>
          <w:rFonts w:ascii="Arial" w:hAnsi="Arial" w:cs="Arial"/>
          <w:sz w:val="21"/>
          <w:szCs w:val="21"/>
          <w:lang w:val="en-US"/>
        </w:rPr>
        <w:t xml:space="preserve"> </w:t>
      </w:r>
      <w:r w:rsidR="00057476" w:rsidRPr="00057476">
        <w:rPr>
          <w:rFonts w:ascii="Arial" w:hAnsi="Arial" w:cs="Arial"/>
          <w:sz w:val="21"/>
          <w:szCs w:val="21"/>
          <w:lang w:val="en-US"/>
        </w:rPr>
        <w:t>provides information and legal guidance services by telephone and by electronic means; talks, courses, workshops, conferences and training or updating activities for public serv</w:t>
      </w:r>
      <w:r w:rsidR="00773030">
        <w:rPr>
          <w:rFonts w:ascii="Arial" w:hAnsi="Arial" w:cs="Arial"/>
          <w:sz w:val="21"/>
          <w:szCs w:val="21"/>
          <w:lang w:val="en-US"/>
        </w:rPr>
        <w:t>ers</w:t>
      </w:r>
      <w:r w:rsidR="00057476" w:rsidRPr="00057476">
        <w:rPr>
          <w:rFonts w:ascii="Arial" w:hAnsi="Arial" w:cs="Arial"/>
          <w:sz w:val="21"/>
          <w:szCs w:val="21"/>
          <w:lang w:val="en-US"/>
        </w:rPr>
        <w:t xml:space="preserve"> and members of organizations from the social and private sectors on human rights of the elderly; </w:t>
      </w:r>
      <w:r w:rsidR="00773030">
        <w:rPr>
          <w:rFonts w:ascii="Arial" w:hAnsi="Arial" w:cs="Arial"/>
          <w:sz w:val="21"/>
          <w:szCs w:val="21"/>
          <w:lang w:val="en-US"/>
        </w:rPr>
        <w:t xml:space="preserve">it </w:t>
      </w:r>
      <w:r w:rsidR="00057476" w:rsidRPr="00057476">
        <w:rPr>
          <w:rFonts w:ascii="Arial" w:hAnsi="Arial" w:cs="Arial"/>
          <w:sz w:val="21"/>
          <w:szCs w:val="21"/>
          <w:lang w:val="en-US"/>
        </w:rPr>
        <w:t>elaborates and distributes dissemination materials about them</w:t>
      </w:r>
      <w:r w:rsidR="00773030">
        <w:rPr>
          <w:rFonts w:ascii="Arial" w:hAnsi="Arial" w:cs="Arial"/>
          <w:sz w:val="21"/>
          <w:szCs w:val="21"/>
          <w:lang w:val="en-US"/>
        </w:rPr>
        <w:t>.</w:t>
      </w:r>
    </w:p>
    <w:p w:rsidR="00773030" w:rsidRPr="003831B0" w:rsidRDefault="00773030" w:rsidP="00E80974">
      <w:pPr>
        <w:spacing w:line="240" w:lineRule="auto"/>
        <w:jc w:val="both"/>
        <w:rPr>
          <w:rFonts w:ascii="Arial" w:hAnsi="Arial" w:cs="Arial"/>
          <w:b/>
          <w:sz w:val="21"/>
          <w:szCs w:val="21"/>
          <w:lang w:val="en-US"/>
        </w:rPr>
      </w:pPr>
    </w:p>
    <w:p w:rsidR="00E80974" w:rsidRPr="004C757E" w:rsidRDefault="00773030" w:rsidP="00E80974">
      <w:pPr>
        <w:spacing w:line="240" w:lineRule="auto"/>
        <w:jc w:val="both"/>
        <w:rPr>
          <w:rFonts w:ascii="Arial" w:hAnsi="Arial" w:cs="Arial"/>
          <w:b/>
          <w:sz w:val="21"/>
          <w:szCs w:val="21"/>
        </w:rPr>
      </w:pPr>
      <w:proofErr w:type="spellStart"/>
      <w:r w:rsidRPr="00773030">
        <w:rPr>
          <w:rFonts w:ascii="Arial" w:hAnsi="Arial" w:cs="Arial"/>
          <w:b/>
          <w:sz w:val="21"/>
          <w:szCs w:val="21"/>
        </w:rPr>
        <w:t>Equality</w:t>
      </w:r>
      <w:proofErr w:type="spellEnd"/>
      <w:r w:rsidRPr="00773030">
        <w:rPr>
          <w:rFonts w:ascii="Arial" w:hAnsi="Arial" w:cs="Arial"/>
          <w:b/>
          <w:sz w:val="21"/>
          <w:szCs w:val="21"/>
        </w:rPr>
        <w:t xml:space="preserve"> and non-</w:t>
      </w:r>
      <w:proofErr w:type="spellStart"/>
      <w:r w:rsidRPr="00773030">
        <w:rPr>
          <w:rFonts w:ascii="Arial" w:hAnsi="Arial" w:cs="Arial"/>
          <w:b/>
          <w:sz w:val="21"/>
          <w:szCs w:val="21"/>
        </w:rPr>
        <w:t>discrimination</w:t>
      </w:r>
      <w:proofErr w:type="spellEnd"/>
      <w:r>
        <w:rPr>
          <w:rFonts w:ascii="Arial" w:hAnsi="Arial" w:cs="Arial"/>
          <w:b/>
          <w:sz w:val="21"/>
          <w:szCs w:val="21"/>
        </w:rPr>
        <w:t xml:space="preserve"> </w:t>
      </w:r>
    </w:p>
    <w:p w:rsidR="00773030" w:rsidRPr="003831B0" w:rsidRDefault="00773030" w:rsidP="008D7A22">
      <w:pPr>
        <w:pStyle w:val="Prrafodelista"/>
        <w:numPr>
          <w:ilvl w:val="0"/>
          <w:numId w:val="4"/>
        </w:numPr>
        <w:spacing w:line="240" w:lineRule="auto"/>
        <w:jc w:val="both"/>
        <w:rPr>
          <w:rFonts w:ascii="Arial" w:hAnsi="Arial" w:cs="Arial"/>
          <w:sz w:val="21"/>
          <w:szCs w:val="21"/>
          <w:lang w:val="en-US"/>
        </w:rPr>
      </w:pPr>
      <w:r w:rsidRPr="00773030">
        <w:rPr>
          <w:rFonts w:ascii="Arial" w:hAnsi="Arial" w:cs="Arial"/>
          <w:b/>
          <w:sz w:val="21"/>
          <w:szCs w:val="21"/>
          <w:lang w:val="en-US"/>
        </w:rPr>
        <w:t xml:space="preserve">In your country, is age one of the prohibited grounds for discrimination in relation to education in older age? </w:t>
      </w:r>
    </w:p>
    <w:p w:rsidR="00E80974" w:rsidRPr="003831B0" w:rsidRDefault="00773030" w:rsidP="00773030">
      <w:pPr>
        <w:spacing w:line="240" w:lineRule="auto"/>
        <w:ind w:left="360"/>
        <w:jc w:val="both"/>
        <w:rPr>
          <w:rFonts w:ascii="Arial" w:hAnsi="Arial" w:cs="Arial"/>
          <w:sz w:val="21"/>
          <w:szCs w:val="21"/>
          <w:lang w:val="en-US"/>
        </w:rPr>
      </w:pPr>
      <w:r w:rsidRPr="00773030">
        <w:rPr>
          <w:rFonts w:ascii="Arial" w:hAnsi="Arial" w:cs="Arial"/>
          <w:sz w:val="21"/>
          <w:szCs w:val="21"/>
          <w:lang w:val="en-US"/>
        </w:rPr>
        <w:t>The LGE</w:t>
      </w:r>
      <w:r w:rsidR="003831B0">
        <w:rPr>
          <w:rFonts w:ascii="Arial" w:hAnsi="Arial" w:cs="Arial"/>
          <w:sz w:val="21"/>
          <w:szCs w:val="21"/>
          <w:lang w:val="en-US"/>
        </w:rPr>
        <w:t xml:space="preserve"> does not expressly mention </w:t>
      </w:r>
      <w:proofErr w:type="spellStart"/>
      <w:r w:rsidR="003831B0">
        <w:rPr>
          <w:rFonts w:ascii="Arial" w:hAnsi="Arial" w:cs="Arial"/>
          <w:sz w:val="21"/>
          <w:szCs w:val="21"/>
          <w:lang w:val="en-US"/>
        </w:rPr>
        <w:t>it</w:t>
      </w:r>
      <w:proofErr w:type="gramStart"/>
      <w:r w:rsidR="003831B0">
        <w:rPr>
          <w:rFonts w:ascii="Arial" w:hAnsi="Arial" w:cs="Arial"/>
          <w:sz w:val="21"/>
          <w:szCs w:val="21"/>
          <w:lang w:val="en-US"/>
        </w:rPr>
        <w:t>,</w:t>
      </w:r>
      <w:r w:rsidRPr="00773030">
        <w:rPr>
          <w:rFonts w:ascii="Arial" w:hAnsi="Arial" w:cs="Arial"/>
          <w:sz w:val="21"/>
          <w:szCs w:val="21"/>
          <w:lang w:val="en-US"/>
        </w:rPr>
        <w:t>however</w:t>
      </w:r>
      <w:proofErr w:type="spellEnd"/>
      <w:proofErr w:type="gramEnd"/>
      <w:r w:rsidRPr="00773030">
        <w:rPr>
          <w:rFonts w:ascii="Arial" w:hAnsi="Arial" w:cs="Arial"/>
          <w:sz w:val="21"/>
          <w:szCs w:val="21"/>
          <w:lang w:val="en-US"/>
        </w:rPr>
        <w:t xml:space="preserve">, the CPEUM (Art. 1 and 3) prohibits all authorities, including educational authorities, from discriminating on grounds of age. </w:t>
      </w:r>
    </w:p>
    <w:p w:rsidR="00E80974" w:rsidRPr="003831B0" w:rsidRDefault="00E80974" w:rsidP="00E80974">
      <w:pPr>
        <w:spacing w:line="240" w:lineRule="auto"/>
        <w:jc w:val="both"/>
        <w:rPr>
          <w:rFonts w:ascii="Arial" w:hAnsi="Arial" w:cs="Arial"/>
          <w:b/>
          <w:sz w:val="21"/>
          <w:szCs w:val="21"/>
          <w:lang w:val="en-US"/>
        </w:rPr>
      </w:pPr>
    </w:p>
    <w:p w:rsidR="00E80974" w:rsidRPr="004C757E" w:rsidRDefault="00773030" w:rsidP="00E80974">
      <w:pPr>
        <w:spacing w:line="240" w:lineRule="auto"/>
        <w:jc w:val="both"/>
        <w:rPr>
          <w:rFonts w:ascii="Arial" w:hAnsi="Arial" w:cs="Arial"/>
          <w:b/>
          <w:sz w:val="21"/>
          <w:szCs w:val="21"/>
        </w:rPr>
      </w:pPr>
      <w:proofErr w:type="spellStart"/>
      <w:r>
        <w:rPr>
          <w:rFonts w:ascii="Arial" w:hAnsi="Arial" w:cs="Arial"/>
          <w:b/>
          <w:sz w:val="21"/>
          <w:szCs w:val="21"/>
        </w:rPr>
        <w:t>Accountability</w:t>
      </w:r>
      <w:proofErr w:type="spellEnd"/>
    </w:p>
    <w:p w:rsidR="00E80974" w:rsidRPr="003831B0" w:rsidRDefault="003831B0" w:rsidP="00057476">
      <w:pPr>
        <w:pStyle w:val="Prrafodelista"/>
        <w:numPr>
          <w:ilvl w:val="0"/>
          <w:numId w:val="4"/>
        </w:numPr>
        <w:spacing w:line="240" w:lineRule="auto"/>
        <w:jc w:val="both"/>
        <w:rPr>
          <w:rFonts w:ascii="Arial" w:hAnsi="Arial" w:cs="Arial"/>
          <w:b/>
          <w:sz w:val="21"/>
          <w:szCs w:val="21"/>
          <w:lang w:val="en-US"/>
        </w:rPr>
      </w:pPr>
      <w:r w:rsidRPr="003831B0">
        <w:rPr>
          <w:rFonts w:ascii="Arial" w:hAnsi="Arial" w:cs="Arial"/>
          <w:b/>
          <w:sz w:val="21"/>
          <w:szCs w:val="21"/>
          <w:lang w:val="en-US"/>
        </w:rPr>
        <w:t xml:space="preserve">What mechanisms are necessary, or already in place, for older persons to lodge </w:t>
      </w:r>
      <w:r>
        <w:rPr>
          <w:rFonts w:ascii="Arial" w:hAnsi="Arial" w:cs="Arial"/>
          <w:b/>
          <w:sz w:val="21"/>
          <w:szCs w:val="21"/>
          <w:lang w:val="en-US"/>
        </w:rPr>
        <w:t>c</w:t>
      </w:r>
      <w:r w:rsidRPr="003831B0">
        <w:rPr>
          <w:rFonts w:ascii="Arial" w:hAnsi="Arial" w:cs="Arial"/>
          <w:b/>
          <w:sz w:val="21"/>
          <w:szCs w:val="21"/>
          <w:lang w:val="en-US"/>
        </w:rPr>
        <w:t>omplaints and seek</w:t>
      </w:r>
      <w:r>
        <w:rPr>
          <w:rFonts w:ascii="Arial" w:hAnsi="Arial" w:cs="Arial"/>
          <w:b/>
          <w:sz w:val="21"/>
          <w:szCs w:val="21"/>
          <w:lang w:val="en-US"/>
        </w:rPr>
        <w:t xml:space="preserve"> redress for denial of their right to education, training, lifelong learning and capacity building?</w:t>
      </w:r>
      <w:r w:rsidRPr="003831B0">
        <w:rPr>
          <w:rFonts w:ascii="Arial" w:hAnsi="Arial" w:cs="Arial"/>
          <w:b/>
          <w:sz w:val="21"/>
          <w:szCs w:val="21"/>
          <w:lang w:val="en-US"/>
        </w:rPr>
        <w:t xml:space="preserve"> </w:t>
      </w:r>
    </w:p>
    <w:p w:rsidR="00E80974" w:rsidRPr="003831B0" w:rsidRDefault="00E80974" w:rsidP="00E80974">
      <w:pPr>
        <w:spacing w:line="240" w:lineRule="auto"/>
        <w:jc w:val="both"/>
        <w:rPr>
          <w:rFonts w:ascii="Arial" w:hAnsi="Arial" w:cs="Arial"/>
          <w:sz w:val="21"/>
          <w:szCs w:val="21"/>
          <w:lang w:val="en-US"/>
        </w:rPr>
      </w:pPr>
      <w:r w:rsidRPr="003831B0">
        <w:rPr>
          <w:rFonts w:ascii="Arial" w:hAnsi="Arial" w:cs="Arial"/>
          <w:b/>
          <w:sz w:val="21"/>
          <w:szCs w:val="21"/>
          <w:lang w:val="en-US"/>
        </w:rPr>
        <w:t>a)</w:t>
      </w:r>
      <w:r w:rsidRPr="003831B0">
        <w:rPr>
          <w:rFonts w:ascii="Arial" w:hAnsi="Arial" w:cs="Arial"/>
          <w:sz w:val="21"/>
          <w:szCs w:val="21"/>
          <w:lang w:val="en-US"/>
        </w:rPr>
        <w:t xml:space="preserve"> </w:t>
      </w:r>
      <w:r w:rsidR="003831B0" w:rsidRPr="003831B0">
        <w:rPr>
          <w:rFonts w:ascii="Arial" w:hAnsi="Arial" w:cs="Arial"/>
          <w:sz w:val="21"/>
          <w:szCs w:val="21"/>
          <w:lang w:val="en-US"/>
        </w:rPr>
        <w:t>Complaint before the internal control body of the authority that incurs the refusal (General Law of Administrative Responsibilities Art. 2, fraction II, 3, fraction XXI, and 75).</w:t>
      </w:r>
    </w:p>
    <w:p w:rsidR="003831B0" w:rsidRDefault="00E80974" w:rsidP="00E80974">
      <w:pPr>
        <w:spacing w:line="240" w:lineRule="auto"/>
        <w:jc w:val="both"/>
        <w:rPr>
          <w:rFonts w:ascii="Arial" w:hAnsi="Arial" w:cs="Arial"/>
          <w:sz w:val="21"/>
          <w:szCs w:val="21"/>
          <w:lang w:val="en-US"/>
        </w:rPr>
      </w:pPr>
      <w:r w:rsidRPr="003831B0">
        <w:rPr>
          <w:rFonts w:ascii="Arial" w:hAnsi="Arial" w:cs="Arial"/>
          <w:b/>
          <w:sz w:val="21"/>
          <w:szCs w:val="21"/>
          <w:lang w:val="en-US"/>
        </w:rPr>
        <w:t>b)</w:t>
      </w:r>
      <w:r w:rsidRPr="003831B0">
        <w:rPr>
          <w:rFonts w:ascii="Arial" w:hAnsi="Arial" w:cs="Arial"/>
          <w:sz w:val="21"/>
          <w:szCs w:val="21"/>
          <w:lang w:val="en-US"/>
        </w:rPr>
        <w:t xml:space="preserve"> </w:t>
      </w:r>
      <w:r w:rsidR="003831B0" w:rsidRPr="003831B0">
        <w:rPr>
          <w:rFonts w:ascii="Arial" w:hAnsi="Arial" w:cs="Arial"/>
          <w:sz w:val="21"/>
          <w:szCs w:val="21"/>
          <w:lang w:val="en-US"/>
        </w:rPr>
        <w:t>Complaint before the National Council to Prevent and Eradicate Discrimination (Article XII of the Federal Law to Prevent and Eradicate Discrimination), or before the Councils in each federative entity.</w:t>
      </w:r>
    </w:p>
    <w:p w:rsidR="00E80974" w:rsidRPr="008B316E" w:rsidRDefault="00E80974" w:rsidP="00E80974">
      <w:pPr>
        <w:spacing w:line="240" w:lineRule="auto"/>
        <w:jc w:val="both"/>
        <w:rPr>
          <w:rFonts w:ascii="Arial" w:hAnsi="Arial" w:cs="Arial"/>
          <w:sz w:val="21"/>
          <w:szCs w:val="21"/>
          <w:lang w:val="en-US"/>
        </w:rPr>
      </w:pPr>
      <w:r w:rsidRPr="003831B0">
        <w:rPr>
          <w:rFonts w:ascii="Arial" w:hAnsi="Arial" w:cs="Arial"/>
          <w:b/>
          <w:sz w:val="21"/>
          <w:szCs w:val="21"/>
          <w:lang w:val="en-US"/>
        </w:rPr>
        <w:t>c)</w:t>
      </w:r>
      <w:r w:rsidRPr="003831B0">
        <w:rPr>
          <w:rFonts w:ascii="Arial" w:hAnsi="Arial" w:cs="Arial"/>
          <w:sz w:val="21"/>
          <w:szCs w:val="21"/>
          <w:lang w:val="en-US"/>
        </w:rPr>
        <w:t xml:space="preserve"> </w:t>
      </w:r>
      <w:r w:rsidR="003831B0" w:rsidRPr="003831B0">
        <w:rPr>
          <w:rFonts w:ascii="Arial" w:hAnsi="Arial" w:cs="Arial"/>
          <w:sz w:val="21"/>
          <w:szCs w:val="21"/>
          <w:lang w:val="en-US"/>
        </w:rPr>
        <w:t xml:space="preserve">Complaint before the </w:t>
      </w:r>
      <w:r w:rsidR="003831B0" w:rsidRPr="003831B0">
        <w:rPr>
          <w:rFonts w:ascii="Arial" w:hAnsi="Arial" w:cs="Arial"/>
          <w:b/>
          <w:sz w:val="21"/>
          <w:szCs w:val="21"/>
          <w:lang w:val="en-US"/>
        </w:rPr>
        <w:t>National Human Rights Commission</w:t>
      </w:r>
      <w:r w:rsidR="003831B0" w:rsidRPr="003831B0">
        <w:rPr>
          <w:rFonts w:ascii="Arial" w:hAnsi="Arial" w:cs="Arial"/>
          <w:sz w:val="21"/>
          <w:szCs w:val="21"/>
          <w:lang w:val="en-US"/>
        </w:rPr>
        <w:t xml:space="preserve"> (Law of the National Human Rights Commission Art. 3º) if it is a federal authority, or before the public human rights organizations in the</w:t>
      </w:r>
      <w:r w:rsidR="003831B0">
        <w:rPr>
          <w:rFonts w:ascii="Arial" w:hAnsi="Arial" w:cs="Arial"/>
          <w:sz w:val="21"/>
          <w:szCs w:val="21"/>
          <w:lang w:val="en-US"/>
        </w:rPr>
        <w:t xml:space="preserve"> federal entities. </w:t>
      </w:r>
      <w:r w:rsidR="003831B0" w:rsidRPr="003831B0">
        <w:rPr>
          <w:rFonts w:ascii="Arial" w:hAnsi="Arial" w:cs="Arial"/>
          <w:sz w:val="21"/>
          <w:szCs w:val="21"/>
          <w:lang w:val="en-US"/>
        </w:rPr>
        <w:t xml:space="preserve"> </w:t>
      </w:r>
    </w:p>
    <w:p w:rsidR="00A3317C" w:rsidRPr="00A3317C" w:rsidRDefault="00E80974" w:rsidP="00E80974">
      <w:pPr>
        <w:spacing w:line="240" w:lineRule="auto"/>
        <w:jc w:val="both"/>
        <w:rPr>
          <w:rFonts w:ascii="Arial" w:hAnsi="Arial" w:cs="Arial"/>
          <w:sz w:val="21"/>
          <w:szCs w:val="21"/>
          <w:lang w:val="en-US"/>
        </w:rPr>
      </w:pPr>
      <w:r w:rsidRPr="00A3317C">
        <w:rPr>
          <w:rFonts w:ascii="Arial" w:hAnsi="Arial" w:cs="Arial"/>
          <w:b/>
          <w:sz w:val="21"/>
          <w:szCs w:val="21"/>
          <w:lang w:val="en-US"/>
        </w:rPr>
        <w:lastRenderedPageBreak/>
        <w:t>d)</w:t>
      </w:r>
      <w:r w:rsidRPr="00A3317C">
        <w:rPr>
          <w:rFonts w:ascii="Arial" w:hAnsi="Arial" w:cs="Arial"/>
          <w:sz w:val="21"/>
          <w:szCs w:val="21"/>
          <w:lang w:val="en-US"/>
        </w:rPr>
        <w:t xml:space="preserve"> </w:t>
      </w:r>
      <w:r w:rsidR="00A3317C" w:rsidRPr="00A3317C">
        <w:rPr>
          <w:rFonts w:ascii="Arial" w:hAnsi="Arial" w:cs="Arial"/>
          <w:sz w:val="21"/>
          <w:szCs w:val="21"/>
          <w:lang w:val="en-US"/>
        </w:rPr>
        <w:t>Judgement</w:t>
      </w:r>
      <w:r w:rsidR="003831B0" w:rsidRPr="00A3317C">
        <w:rPr>
          <w:rFonts w:ascii="Arial" w:hAnsi="Arial" w:cs="Arial"/>
          <w:sz w:val="21"/>
          <w:szCs w:val="21"/>
          <w:lang w:val="en-US"/>
        </w:rPr>
        <w:t xml:space="preserve"> of </w:t>
      </w:r>
      <w:proofErr w:type="spellStart"/>
      <w:r w:rsidR="003831B0" w:rsidRPr="00A3317C">
        <w:rPr>
          <w:rFonts w:ascii="Arial" w:hAnsi="Arial" w:cs="Arial"/>
          <w:sz w:val="21"/>
          <w:szCs w:val="21"/>
          <w:lang w:val="en-US"/>
        </w:rPr>
        <w:t>Amparo</w:t>
      </w:r>
      <w:proofErr w:type="spellEnd"/>
      <w:r w:rsidR="003831B0" w:rsidRPr="00A3317C">
        <w:rPr>
          <w:rFonts w:ascii="Arial" w:hAnsi="Arial" w:cs="Arial"/>
          <w:sz w:val="21"/>
          <w:szCs w:val="21"/>
          <w:lang w:val="en-US"/>
        </w:rPr>
        <w:t xml:space="preserve"> (Law of </w:t>
      </w:r>
      <w:proofErr w:type="spellStart"/>
      <w:r w:rsidR="003831B0" w:rsidRPr="00A3317C">
        <w:rPr>
          <w:rFonts w:ascii="Arial" w:hAnsi="Arial" w:cs="Arial"/>
          <w:sz w:val="21"/>
          <w:szCs w:val="21"/>
          <w:lang w:val="en-US"/>
        </w:rPr>
        <w:t>Amparo</w:t>
      </w:r>
      <w:proofErr w:type="spellEnd"/>
      <w:r w:rsidR="003831B0" w:rsidRPr="00A3317C">
        <w:rPr>
          <w:rFonts w:ascii="Arial" w:hAnsi="Arial" w:cs="Arial"/>
          <w:sz w:val="21"/>
          <w:szCs w:val="21"/>
          <w:lang w:val="en-US"/>
        </w:rPr>
        <w:t xml:space="preserve">, Art. 1, fraction </w:t>
      </w:r>
    </w:p>
    <w:p w:rsidR="008B316E" w:rsidRDefault="00E80974" w:rsidP="008B316E">
      <w:pPr>
        <w:spacing w:line="240" w:lineRule="auto"/>
        <w:jc w:val="both"/>
        <w:rPr>
          <w:rFonts w:ascii="Arial" w:hAnsi="Arial" w:cs="Arial"/>
          <w:sz w:val="21"/>
          <w:szCs w:val="21"/>
          <w:lang w:val="en-US"/>
        </w:rPr>
      </w:pPr>
      <w:r w:rsidRPr="00A3317C">
        <w:rPr>
          <w:rFonts w:ascii="Arial" w:hAnsi="Arial" w:cs="Arial"/>
          <w:b/>
          <w:sz w:val="21"/>
          <w:szCs w:val="21"/>
          <w:lang w:val="en-US"/>
        </w:rPr>
        <w:t xml:space="preserve">e) </w:t>
      </w:r>
      <w:r w:rsidR="00A3317C" w:rsidRPr="008B316E">
        <w:rPr>
          <w:rFonts w:ascii="Arial" w:hAnsi="Arial" w:cs="Arial"/>
          <w:sz w:val="21"/>
          <w:szCs w:val="21"/>
          <w:lang w:val="en-US"/>
        </w:rPr>
        <w:t xml:space="preserve">Criminal complaint for refusal or restriction of the right to education (Art. 149 </w:t>
      </w:r>
      <w:proofErr w:type="spellStart"/>
      <w:r w:rsidR="00A3317C" w:rsidRPr="008B316E">
        <w:rPr>
          <w:rFonts w:ascii="Arial" w:hAnsi="Arial" w:cs="Arial"/>
          <w:sz w:val="21"/>
          <w:szCs w:val="21"/>
          <w:lang w:val="en-US"/>
        </w:rPr>
        <w:t>Ter</w:t>
      </w:r>
      <w:proofErr w:type="spellEnd"/>
      <w:r w:rsidR="00A3317C" w:rsidRPr="008B316E">
        <w:rPr>
          <w:rFonts w:ascii="Arial" w:hAnsi="Arial" w:cs="Arial"/>
          <w:sz w:val="21"/>
          <w:szCs w:val="21"/>
          <w:lang w:val="en-US"/>
        </w:rPr>
        <w:t xml:space="preserve"> Federal Criminal Code)</w:t>
      </w:r>
      <w:r w:rsidR="00A3317C" w:rsidRPr="00A3317C">
        <w:rPr>
          <w:rFonts w:ascii="Arial" w:hAnsi="Arial" w:cs="Arial"/>
          <w:b/>
          <w:sz w:val="21"/>
          <w:szCs w:val="21"/>
          <w:lang w:val="en-US"/>
        </w:rPr>
        <w:t>.</w:t>
      </w:r>
      <w:r w:rsidR="00A3317C">
        <w:rPr>
          <w:rFonts w:ascii="Arial" w:hAnsi="Arial" w:cs="Arial"/>
          <w:b/>
          <w:sz w:val="21"/>
          <w:szCs w:val="21"/>
          <w:lang w:val="en-US"/>
        </w:rPr>
        <w:t xml:space="preserve"> </w:t>
      </w:r>
    </w:p>
    <w:p w:rsidR="008B316E" w:rsidRPr="00B30BA2" w:rsidRDefault="008B316E" w:rsidP="008B316E">
      <w:pPr>
        <w:spacing w:line="240" w:lineRule="auto"/>
        <w:jc w:val="both"/>
        <w:rPr>
          <w:rFonts w:ascii="Arial" w:hAnsi="Arial" w:cs="Arial"/>
          <w:b/>
          <w:color w:val="000000" w:themeColor="text1"/>
          <w:sz w:val="21"/>
          <w:szCs w:val="21"/>
          <w:lang w:val="en-US"/>
        </w:rPr>
      </w:pPr>
    </w:p>
    <w:p w:rsidR="008B316E" w:rsidRPr="00B30BA2" w:rsidRDefault="008B316E" w:rsidP="008B316E">
      <w:pPr>
        <w:spacing w:line="240" w:lineRule="auto"/>
        <w:jc w:val="both"/>
        <w:rPr>
          <w:rFonts w:ascii="Arial" w:hAnsi="Arial" w:cs="Arial"/>
          <w:b/>
          <w:color w:val="000000" w:themeColor="text1"/>
          <w:sz w:val="21"/>
          <w:szCs w:val="21"/>
          <w:lang w:val="en-US"/>
        </w:rPr>
      </w:pPr>
    </w:p>
    <w:p w:rsidR="00E80974" w:rsidRPr="008B316E" w:rsidRDefault="008B316E" w:rsidP="008B316E">
      <w:pPr>
        <w:spacing w:line="240" w:lineRule="auto"/>
        <w:jc w:val="both"/>
        <w:rPr>
          <w:rFonts w:ascii="Arial" w:hAnsi="Arial" w:cs="Arial"/>
          <w:sz w:val="21"/>
          <w:szCs w:val="21"/>
          <w:lang w:val="en-US"/>
        </w:rPr>
      </w:pPr>
      <w:r w:rsidRPr="008B316E">
        <w:rPr>
          <w:rFonts w:ascii="Arial" w:hAnsi="Arial" w:cs="Arial"/>
          <w:b/>
          <w:color w:val="000000" w:themeColor="text1"/>
          <w:sz w:val="21"/>
          <w:szCs w:val="21"/>
          <w:lang w:val="en-US"/>
        </w:rPr>
        <w:t>Social Protection and social security</w:t>
      </w:r>
      <w:r w:rsidR="00C87BC5">
        <w:rPr>
          <w:rFonts w:ascii="Arial" w:hAnsi="Arial" w:cs="Arial"/>
          <w:b/>
          <w:color w:val="000000" w:themeColor="text1"/>
          <w:sz w:val="21"/>
          <w:szCs w:val="21"/>
          <w:lang w:val="en-US"/>
        </w:rPr>
        <w:t xml:space="preserve"> (including social protection floors)</w:t>
      </w:r>
    </w:p>
    <w:p w:rsidR="00E6149E" w:rsidRPr="00B30BA2" w:rsidRDefault="00E6149E" w:rsidP="00E80974">
      <w:pPr>
        <w:spacing w:line="240" w:lineRule="auto"/>
        <w:jc w:val="both"/>
        <w:rPr>
          <w:rFonts w:ascii="Arial" w:hAnsi="Arial" w:cs="Arial"/>
          <w:b/>
          <w:sz w:val="21"/>
          <w:szCs w:val="21"/>
          <w:lang w:val="en-US"/>
        </w:rPr>
      </w:pPr>
    </w:p>
    <w:p w:rsidR="00E80974" w:rsidRPr="00B30BA2" w:rsidRDefault="008B316E" w:rsidP="00E80974">
      <w:pPr>
        <w:spacing w:line="240" w:lineRule="auto"/>
        <w:jc w:val="both"/>
        <w:rPr>
          <w:rFonts w:ascii="Arial" w:hAnsi="Arial" w:cs="Arial"/>
          <w:b/>
          <w:sz w:val="21"/>
          <w:szCs w:val="21"/>
          <w:lang w:val="en-US"/>
        </w:rPr>
      </w:pPr>
      <w:r w:rsidRPr="00B30BA2">
        <w:rPr>
          <w:rFonts w:ascii="Arial" w:hAnsi="Arial" w:cs="Arial"/>
          <w:b/>
          <w:sz w:val="21"/>
          <w:szCs w:val="21"/>
          <w:lang w:val="en-US"/>
        </w:rPr>
        <w:t>National legal framework</w:t>
      </w:r>
    </w:p>
    <w:p w:rsidR="00E6149E" w:rsidRPr="00E6149E" w:rsidRDefault="008B316E" w:rsidP="00C63C98">
      <w:pPr>
        <w:pStyle w:val="Prrafodelista"/>
        <w:numPr>
          <w:ilvl w:val="0"/>
          <w:numId w:val="2"/>
        </w:numPr>
        <w:spacing w:line="240" w:lineRule="auto"/>
        <w:jc w:val="both"/>
        <w:rPr>
          <w:rFonts w:ascii="Arial" w:hAnsi="Arial" w:cs="Arial"/>
          <w:color w:val="2F2F2F"/>
          <w:sz w:val="21"/>
          <w:szCs w:val="21"/>
          <w:shd w:val="clear" w:color="auto" w:fill="FFFFFF"/>
        </w:rPr>
      </w:pPr>
      <w:r w:rsidRPr="008B316E">
        <w:rPr>
          <w:rFonts w:ascii="Arial" w:hAnsi="Arial" w:cs="Arial"/>
          <w:sz w:val="21"/>
          <w:szCs w:val="21"/>
          <w:lang w:val="en-US"/>
        </w:rPr>
        <w:t xml:space="preserve">What are the legal provisions in your country that recognizes the right to social security and social protection, including non-contributory and contributory old-age benefits? </w:t>
      </w:r>
      <w:proofErr w:type="gramStart"/>
      <w:r w:rsidR="00F850DA">
        <w:rPr>
          <w:rFonts w:ascii="Arial" w:hAnsi="Arial" w:cs="Arial"/>
          <w:sz w:val="21"/>
          <w:szCs w:val="21"/>
        </w:rPr>
        <w:t xml:space="preserve">Do </w:t>
      </w:r>
      <w:proofErr w:type="spellStart"/>
      <w:r w:rsidRPr="008B316E">
        <w:rPr>
          <w:rFonts w:ascii="Arial" w:hAnsi="Arial" w:cs="Arial"/>
          <w:sz w:val="21"/>
          <w:szCs w:val="21"/>
        </w:rPr>
        <w:t>they</w:t>
      </w:r>
      <w:proofErr w:type="spellEnd"/>
      <w:r w:rsidRPr="008B316E">
        <w:rPr>
          <w:rFonts w:ascii="Arial" w:hAnsi="Arial" w:cs="Arial"/>
          <w:sz w:val="21"/>
          <w:szCs w:val="21"/>
        </w:rPr>
        <w:t xml:space="preserve"> </w:t>
      </w:r>
      <w:proofErr w:type="spellStart"/>
      <w:r w:rsidRPr="008B316E">
        <w:rPr>
          <w:rFonts w:ascii="Arial" w:hAnsi="Arial" w:cs="Arial"/>
          <w:sz w:val="21"/>
          <w:szCs w:val="21"/>
        </w:rPr>
        <w:t>have</w:t>
      </w:r>
      <w:proofErr w:type="spellEnd"/>
      <w:r w:rsidRPr="008B316E">
        <w:rPr>
          <w:rFonts w:ascii="Arial" w:hAnsi="Arial" w:cs="Arial"/>
          <w:sz w:val="21"/>
          <w:szCs w:val="21"/>
        </w:rPr>
        <w:t xml:space="preserve"> a </w:t>
      </w:r>
      <w:proofErr w:type="spellStart"/>
      <w:r w:rsidRPr="008B316E">
        <w:rPr>
          <w:rFonts w:ascii="Arial" w:hAnsi="Arial" w:cs="Arial"/>
          <w:sz w:val="21"/>
          <w:szCs w:val="21"/>
        </w:rPr>
        <w:t>constitutional</w:t>
      </w:r>
      <w:proofErr w:type="spellEnd"/>
      <w:r w:rsidRPr="008B316E">
        <w:rPr>
          <w:rFonts w:ascii="Arial" w:hAnsi="Arial" w:cs="Arial"/>
          <w:sz w:val="21"/>
          <w:szCs w:val="21"/>
        </w:rPr>
        <w:t xml:space="preserve">, </w:t>
      </w:r>
      <w:proofErr w:type="spellStart"/>
      <w:r w:rsidRPr="008B316E">
        <w:rPr>
          <w:rFonts w:ascii="Arial" w:hAnsi="Arial" w:cs="Arial"/>
          <w:sz w:val="21"/>
          <w:szCs w:val="21"/>
        </w:rPr>
        <w:t>legislative</w:t>
      </w:r>
      <w:proofErr w:type="spellEnd"/>
      <w:r w:rsidRPr="008B316E">
        <w:rPr>
          <w:rFonts w:ascii="Arial" w:hAnsi="Arial" w:cs="Arial"/>
          <w:sz w:val="21"/>
          <w:szCs w:val="21"/>
        </w:rPr>
        <w:t xml:space="preserve"> </w:t>
      </w:r>
      <w:proofErr w:type="spellStart"/>
      <w:r w:rsidRPr="008B316E">
        <w:rPr>
          <w:rFonts w:ascii="Arial" w:hAnsi="Arial" w:cs="Arial"/>
          <w:sz w:val="21"/>
          <w:szCs w:val="21"/>
        </w:rPr>
        <w:t>or</w:t>
      </w:r>
      <w:proofErr w:type="spellEnd"/>
      <w:r w:rsidRPr="008B316E">
        <w:rPr>
          <w:rFonts w:ascii="Arial" w:hAnsi="Arial" w:cs="Arial"/>
          <w:sz w:val="21"/>
          <w:szCs w:val="21"/>
        </w:rPr>
        <w:t xml:space="preserve"> </w:t>
      </w:r>
      <w:proofErr w:type="spellStart"/>
      <w:r w:rsidRPr="008B316E">
        <w:rPr>
          <w:rFonts w:ascii="Arial" w:hAnsi="Arial" w:cs="Arial"/>
          <w:sz w:val="21"/>
          <w:szCs w:val="21"/>
        </w:rPr>
        <w:t>executive</w:t>
      </w:r>
      <w:proofErr w:type="spellEnd"/>
      <w:r w:rsidRPr="008B316E">
        <w:rPr>
          <w:rFonts w:ascii="Arial" w:hAnsi="Arial" w:cs="Arial"/>
          <w:sz w:val="21"/>
          <w:szCs w:val="21"/>
        </w:rPr>
        <w:t xml:space="preserve"> </w:t>
      </w:r>
      <w:proofErr w:type="spellStart"/>
      <w:r w:rsidRPr="008B316E">
        <w:rPr>
          <w:rFonts w:ascii="Arial" w:hAnsi="Arial" w:cs="Arial"/>
          <w:sz w:val="21"/>
          <w:szCs w:val="21"/>
        </w:rPr>
        <w:t>foundation</w:t>
      </w:r>
      <w:proofErr w:type="spellEnd"/>
      <w:r w:rsidRPr="008B316E">
        <w:rPr>
          <w:rFonts w:ascii="Arial" w:hAnsi="Arial" w:cs="Arial"/>
          <w:sz w:val="21"/>
          <w:szCs w:val="21"/>
        </w:rPr>
        <w:t>?</w:t>
      </w:r>
      <w:proofErr w:type="gramEnd"/>
    </w:p>
    <w:p w:rsidR="008B316E" w:rsidRPr="00E6149E" w:rsidRDefault="008B316E" w:rsidP="00E6149E">
      <w:pPr>
        <w:spacing w:line="240" w:lineRule="auto"/>
        <w:ind w:left="360"/>
        <w:jc w:val="both"/>
        <w:rPr>
          <w:rFonts w:ascii="Arial" w:hAnsi="Arial" w:cs="Arial"/>
          <w:color w:val="2F2F2F"/>
          <w:sz w:val="21"/>
          <w:szCs w:val="21"/>
          <w:shd w:val="clear" w:color="auto" w:fill="FFFFFF"/>
        </w:rPr>
      </w:pPr>
    </w:p>
    <w:p w:rsidR="00E80974" w:rsidRPr="008B316E" w:rsidRDefault="008B316E" w:rsidP="008B316E">
      <w:pPr>
        <w:spacing w:line="240" w:lineRule="auto"/>
        <w:jc w:val="both"/>
        <w:rPr>
          <w:rFonts w:ascii="Arial" w:hAnsi="Arial" w:cs="Arial"/>
          <w:color w:val="2F2F2F"/>
          <w:sz w:val="21"/>
          <w:szCs w:val="21"/>
          <w:shd w:val="clear" w:color="auto" w:fill="FFFFFF"/>
          <w:lang w:val="en-US"/>
        </w:rPr>
      </w:pPr>
      <w:r w:rsidRPr="008B316E">
        <w:rPr>
          <w:rFonts w:ascii="Arial" w:hAnsi="Arial" w:cs="Arial"/>
          <w:sz w:val="21"/>
          <w:szCs w:val="21"/>
          <w:lang w:val="en-US"/>
        </w:rPr>
        <w:t xml:space="preserve">The right to social security for workers </w:t>
      </w:r>
      <w:proofErr w:type="gramStart"/>
      <w:r w:rsidRPr="008B316E">
        <w:rPr>
          <w:rFonts w:ascii="Arial" w:hAnsi="Arial" w:cs="Arial"/>
          <w:sz w:val="21"/>
          <w:szCs w:val="21"/>
          <w:lang w:val="en-US"/>
        </w:rPr>
        <w:t>is recognized</w:t>
      </w:r>
      <w:proofErr w:type="gramEnd"/>
      <w:r w:rsidRPr="008B316E">
        <w:rPr>
          <w:rFonts w:ascii="Arial" w:hAnsi="Arial" w:cs="Arial"/>
          <w:sz w:val="21"/>
          <w:szCs w:val="21"/>
          <w:lang w:val="en-US"/>
        </w:rPr>
        <w:t xml:space="preserve"> in article 123 of the </w:t>
      </w:r>
      <w:r>
        <w:rPr>
          <w:rFonts w:ascii="Arial" w:hAnsi="Arial" w:cs="Arial"/>
          <w:sz w:val="21"/>
          <w:szCs w:val="21"/>
          <w:lang w:val="en-US"/>
        </w:rPr>
        <w:t>Mexican Constitution</w:t>
      </w:r>
      <w:r w:rsidRPr="008B316E">
        <w:rPr>
          <w:rFonts w:ascii="Arial" w:hAnsi="Arial" w:cs="Arial"/>
          <w:sz w:val="21"/>
          <w:szCs w:val="21"/>
          <w:lang w:val="en-US"/>
        </w:rPr>
        <w:t xml:space="preserve">, first paragraph, section "A" section XXIX, and section "B" section XI. The Social Security Laws (IMSS), the Institute for Security and Social Services of Workers in the Service </w:t>
      </w:r>
      <w:r>
        <w:rPr>
          <w:rFonts w:ascii="Arial" w:hAnsi="Arial" w:cs="Arial"/>
          <w:sz w:val="21"/>
          <w:szCs w:val="21"/>
          <w:lang w:val="en-US"/>
        </w:rPr>
        <w:t>to</w:t>
      </w:r>
      <w:r w:rsidRPr="008B316E">
        <w:rPr>
          <w:rFonts w:ascii="Arial" w:hAnsi="Arial" w:cs="Arial"/>
          <w:sz w:val="21"/>
          <w:szCs w:val="21"/>
          <w:lang w:val="en-US"/>
        </w:rPr>
        <w:t xml:space="preserve"> the State (ISSSTE), the Social Security Institute of the Armed Forces (ISSFAM) and the Law of </w:t>
      </w:r>
      <w:proofErr w:type="spellStart"/>
      <w:r w:rsidRPr="008B316E">
        <w:rPr>
          <w:rFonts w:ascii="Arial" w:hAnsi="Arial" w:cs="Arial"/>
          <w:sz w:val="21"/>
          <w:szCs w:val="21"/>
          <w:lang w:val="en-US"/>
        </w:rPr>
        <w:t>Petróleos</w:t>
      </w:r>
      <w:proofErr w:type="spellEnd"/>
      <w:r w:rsidRPr="008B316E">
        <w:rPr>
          <w:rFonts w:ascii="Arial" w:hAnsi="Arial" w:cs="Arial"/>
          <w:sz w:val="21"/>
          <w:szCs w:val="21"/>
          <w:lang w:val="en-US"/>
        </w:rPr>
        <w:t xml:space="preserve"> </w:t>
      </w:r>
      <w:proofErr w:type="spellStart"/>
      <w:r w:rsidRPr="008B316E">
        <w:rPr>
          <w:rFonts w:ascii="Arial" w:hAnsi="Arial" w:cs="Arial"/>
          <w:sz w:val="21"/>
          <w:szCs w:val="21"/>
          <w:lang w:val="en-US"/>
        </w:rPr>
        <w:t>Mexicanos</w:t>
      </w:r>
      <w:proofErr w:type="spellEnd"/>
      <w:r w:rsidRPr="008B316E">
        <w:rPr>
          <w:rFonts w:ascii="Arial" w:hAnsi="Arial" w:cs="Arial"/>
          <w:sz w:val="21"/>
          <w:szCs w:val="21"/>
          <w:lang w:val="en-US"/>
        </w:rPr>
        <w:t xml:space="preserve"> (PEMEX) regulate the social security benefits for their respective beneficiaries, including the contributory pension scheme for old age</w:t>
      </w:r>
      <w:r>
        <w:rPr>
          <w:rFonts w:ascii="Arial" w:hAnsi="Arial" w:cs="Arial"/>
          <w:sz w:val="21"/>
          <w:szCs w:val="21"/>
          <w:lang w:val="en-US"/>
        </w:rPr>
        <w:t>.</w:t>
      </w:r>
      <w:r w:rsidR="00E80974" w:rsidRPr="004C757E">
        <w:rPr>
          <w:rStyle w:val="Refdenotaalfinal"/>
          <w:rFonts w:ascii="Arial" w:hAnsi="Arial" w:cs="Arial"/>
          <w:sz w:val="21"/>
          <w:szCs w:val="21"/>
        </w:rPr>
        <w:endnoteReference w:id="9"/>
      </w:r>
    </w:p>
    <w:p w:rsidR="00E80974" w:rsidRPr="00E6149E" w:rsidRDefault="008B316E" w:rsidP="00E80974">
      <w:pPr>
        <w:spacing w:after="0" w:line="240" w:lineRule="auto"/>
        <w:jc w:val="both"/>
        <w:rPr>
          <w:rFonts w:ascii="Arial" w:hAnsi="Arial" w:cs="Arial"/>
          <w:sz w:val="21"/>
          <w:szCs w:val="21"/>
          <w:lang w:val="en-US"/>
        </w:rPr>
      </w:pPr>
      <w:r w:rsidRPr="008B316E">
        <w:rPr>
          <w:rFonts w:ascii="Arial" w:hAnsi="Arial" w:cs="Arial"/>
          <w:color w:val="2F2F2F"/>
          <w:sz w:val="21"/>
          <w:szCs w:val="21"/>
          <w:shd w:val="clear" w:color="auto" w:fill="FFFFFF"/>
          <w:lang w:val="en-US"/>
        </w:rPr>
        <w:t>The Retirement Savings System Law regulates the operation of the retirement savings systems and their participants foreseen in this Law and in the laws of the IMSS, the Institute of the National Fund for Housing for Workers and the</w:t>
      </w:r>
      <w:r>
        <w:rPr>
          <w:rFonts w:ascii="Arial" w:hAnsi="Arial" w:cs="Arial"/>
          <w:color w:val="2F2F2F"/>
          <w:sz w:val="21"/>
          <w:szCs w:val="21"/>
          <w:shd w:val="clear" w:color="auto" w:fill="FFFFFF"/>
          <w:lang w:val="en-US"/>
        </w:rPr>
        <w:t xml:space="preserve"> ISSSTE</w:t>
      </w:r>
      <w:r w:rsidR="00E80974" w:rsidRPr="008B316E">
        <w:rPr>
          <w:rFonts w:ascii="Arial" w:hAnsi="Arial" w:cs="Arial"/>
          <w:sz w:val="21"/>
          <w:szCs w:val="21"/>
          <w:lang w:val="en-US"/>
        </w:rPr>
        <w:t>.</w:t>
      </w:r>
      <w:r w:rsidR="00E80974" w:rsidRPr="004C757E">
        <w:rPr>
          <w:rStyle w:val="Refdenotaalfinal"/>
          <w:rFonts w:ascii="Arial" w:hAnsi="Arial" w:cs="Arial"/>
          <w:sz w:val="21"/>
          <w:szCs w:val="21"/>
        </w:rPr>
        <w:endnoteReference w:id="10"/>
      </w:r>
      <w:r w:rsidR="00E80974" w:rsidRPr="008B316E">
        <w:rPr>
          <w:rFonts w:ascii="Arial" w:hAnsi="Arial" w:cs="Arial"/>
          <w:sz w:val="21"/>
          <w:szCs w:val="21"/>
          <w:lang w:val="en-US"/>
        </w:rPr>
        <w:t xml:space="preserve"> </w:t>
      </w:r>
      <w:r w:rsidRPr="008B316E">
        <w:rPr>
          <w:rFonts w:ascii="Arial" w:hAnsi="Arial" w:cs="Arial"/>
          <w:sz w:val="21"/>
          <w:szCs w:val="21"/>
          <w:lang w:val="en-US"/>
        </w:rPr>
        <w:t>At the national level, the Secretariat of Social Development</w:t>
      </w:r>
      <w:r w:rsidR="00E80974" w:rsidRPr="004C757E">
        <w:rPr>
          <w:rStyle w:val="Refdenotaalfinal"/>
          <w:rFonts w:ascii="Arial" w:hAnsi="Arial" w:cs="Arial"/>
          <w:sz w:val="21"/>
          <w:szCs w:val="21"/>
        </w:rPr>
        <w:endnoteReference w:id="11"/>
      </w:r>
      <w:r w:rsidR="00E80974" w:rsidRPr="008B316E">
        <w:rPr>
          <w:rFonts w:ascii="Arial" w:hAnsi="Arial" w:cs="Arial"/>
          <w:sz w:val="21"/>
          <w:szCs w:val="21"/>
          <w:lang w:val="en-US"/>
        </w:rPr>
        <w:t xml:space="preserve"> </w:t>
      </w:r>
      <w:r w:rsidRPr="008B316E">
        <w:rPr>
          <w:rFonts w:ascii="Arial" w:hAnsi="Arial" w:cs="Arial"/>
          <w:sz w:val="21"/>
          <w:szCs w:val="21"/>
          <w:lang w:val="en-US"/>
        </w:rPr>
        <w:t>implements the Pension for the Elderly Program, its objective is to ensure a minimum income and social protection support for people who are over 65 years of age whose monthly income is less than $ 1,092 pesos for retirement or contributory-type</w:t>
      </w:r>
      <w:r w:rsidR="00E80974" w:rsidRPr="004C757E">
        <w:rPr>
          <w:rStyle w:val="Refdenotaalfinal"/>
          <w:rFonts w:ascii="Arial" w:hAnsi="Arial" w:cs="Arial"/>
          <w:sz w:val="21"/>
          <w:szCs w:val="21"/>
        </w:rPr>
        <w:endnoteReference w:id="12"/>
      </w:r>
      <w:r w:rsidR="00E6149E" w:rsidRPr="00E6149E">
        <w:rPr>
          <w:rFonts w:ascii="Arial" w:hAnsi="Arial" w:cs="Arial"/>
          <w:sz w:val="21"/>
          <w:szCs w:val="21"/>
          <w:lang w:val="en-US"/>
        </w:rPr>
        <w:t>.</w:t>
      </w:r>
      <w:r w:rsidR="00E80974" w:rsidRPr="008B316E">
        <w:rPr>
          <w:rFonts w:ascii="Arial" w:hAnsi="Arial" w:cs="Arial"/>
          <w:sz w:val="21"/>
          <w:szCs w:val="21"/>
          <w:lang w:val="en-US"/>
        </w:rPr>
        <w:t xml:space="preserve"> </w:t>
      </w:r>
      <w:r w:rsidR="00E6149E">
        <w:rPr>
          <w:rFonts w:ascii="Arial" w:hAnsi="Arial" w:cs="Arial"/>
          <w:sz w:val="21"/>
          <w:szCs w:val="21"/>
          <w:lang w:val="en-US"/>
        </w:rPr>
        <w:t xml:space="preserve"> </w:t>
      </w:r>
      <w:r w:rsidR="00E6149E" w:rsidRPr="00E6149E">
        <w:rPr>
          <w:rFonts w:ascii="Arial" w:hAnsi="Arial" w:cs="Arial"/>
          <w:sz w:val="21"/>
          <w:szCs w:val="21"/>
          <w:lang w:val="en-US"/>
        </w:rPr>
        <w:t xml:space="preserve">At </w:t>
      </w:r>
      <w:r w:rsidR="00E6149E">
        <w:rPr>
          <w:rFonts w:ascii="Arial" w:hAnsi="Arial" w:cs="Arial"/>
          <w:sz w:val="21"/>
          <w:szCs w:val="21"/>
          <w:lang w:val="en-US"/>
        </w:rPr>
        <w:t>national</w:t>
      </w:r>
      <w:r w:rsidR="00E6149E" w:rsidRPr="00E6149E">
        <w:rPr>
          <w:rFonts w:ascii="Arial" w:hAnsi="Arial" w:cs="Arial"/>
          <w:sz w:val="21"/>
          <w:szCs w:val="21"/>
          <w:lang w:val="en-US"/>
        </w:rPr>
        <w:t xml:space="preserve"> level, 11</w:t>
      </w:r>
      <w:r w:rsidR="00E6149E">
        <w:rPr>
          <w:rFonts w:ascii="Arial" w:hAnsi="Arial" w:cs="Arial"/>
          <w:sz w:val="21"/>
          <w:szCs w:val="21"/>
          <w:lang w:val="en-US"/>
        </w:rPr>
        <w:t xml:space="preserve"> federal</w:t>
      </w:r>
      <w:r w:rsidR="00E6149E" w:rsidRPr="00E6149E">
        <w:rPr>
          <w:rFonts w:ascii="Arial" w:hAnsi="Arial" w:cs="Arial"/>
          <w:sz w:val="21"/>
          <w:szCs w:val="21"/>
          <w:lang w:val="en-US"/>
        </w:rPr>
        <w:t xml:space="preserve"> states provided non-contributory pensions to the elderly</w:t>
      </w:r>
      <w:r w:rsidR="00E80974" w:rsidRPr="004C757E">
        <w:rPr>
          <w:rStyle w:val="Refdenotaalfinal"/>
          <w:rFonts w:ascii="Arial" w:hAnsi="Arial" w:cs="Arial"/>
          <w:sz w:val="21"/>
          <w:szCs w:val="21"/>
        </w:rPr>
        <w:endnoteReference w:id="13"/>
      </w:r>
    </w:p>
    <w:p w:rsidR="00E80974" w:rsidRPr="00E6149E" w:rsidRDefault="00E80974" w:rsidP="00E80974">
      <w:pPr>
        <w:spacing w:after="0" w:line="240" w:lineRule="auto"/>
        <w:jc w:val="both"/>
        <w:rPr>
          <w:rFonts w:ascii="Arial" w:hAnsi="Arial" w:cs="Arial"/>
          <w:sz w:val="21"/>
          <w:szCs w:val="21"/>
          <w:lang w:val="en-US"/>
        </w:rPr>
      </w:pPr>
    </w:p>
    <w:p w:rsidR="00E6149E" w:rsidRPr="00B30BA2" w:rsidRDefault="00E6149E" w:rsidP="00E80974">
      <w:pPr>
        <w:spacing w:line="240" w:lineRule="auto"/>
        <w:jc w:val="both"/>
        <w:rPr>
          <w:rFonts w:ascii="Arial" w:hAnsi="Arial" w:cs="Arial"/>
          <w:b/>
          <w:sz w:val="21"/>
          <w:szCs w:val="21"/>
          <w:lang w:val="en-US"/>
        </w:rPr>
      </w:pPr>
    </w:p>
    <w:p w:rsidR="00E80974" w:rsidRPr="004C757E" w:rsidRDefault="00E6149E" w:rsidP="00E80974">
      <w:pPr>
        <w:spacing w:line="240" w:lineRule="auto"/>
        <w:jc w:val="both"/>
        <w:rPr>
          <w:rFonts w:ascii="Arial" w:hAnsi="Arial" w:cs="Arial"/>
          <w:b/>
          <w:sz w:val="21"/>
          <w:szCs w:val="21"/>
        </w:rPr>
      </w:pPr>
      <w:proofErr w:type="spellStart"/>
      <w:r>
        <w:rPr>
          <w:rFonts w:ascii="Arial" w:hAnsi="Arial" w:cs="Arial"/>
          <w:b/>
          <w:sz w:val="21"/>
          <w:szCs w:val="21"/>
        </w:rPr>
        <w:t>Availability</w:t>
      </w:r>
      <w:proofErr w:type="spellEnd"/>
    </w:p>
    <w:p w:rsidR="00E6149E" w:rsidRPr="00B30BA2" w:rsidRDefault="00E6149E" w:rsidP="003706AA">
      <w:pPr>
        <w:pStyle w:val="Prrafodelista"/>
        <w:numPr>
          <w:ilvl w:val="0"/>
          <w:numId w:val="2"/>
        </w:numPr>
        <w:spacing w:line="240" w:lineRule="auto"/>
        <w:jc w:val="both"/>
        <w:rPr>
          <w:rFonts w:ascii="Arial" w:hAnsi="Arial" w:cs="Arial"/>
          <w:sz w:val="21"/>
          <w:szCs w:val="21"/>
          <w:lang w:val="en-US"/>
        </w:rPr>
      </w:pPr>
      <w:r w:rsidRPr="00E6149E">
        <w:rPr>
          <w:rFonts w:ascii="Arial" w:hAnsi="Arial" w:cs="Arial"/>
          <w:b/>
          <w:sz w:val="21"/>
          <w:szCs w:val="21"/>
          <w:lang w:val="en-US"/>
        </w:rPr>
        <w:t xml:space="preserve">What steps </w:t>
      </w:r>
      <w:proofErr w:type="gramStart"/>
      <w:r w:rsidRPr="00E6149E">
        <w:rPr>
          <w:rFonts w:ascii="Arial" w:hAnsi="Arial" w:cs="Arial"/>
          <w:b/>
          <w:sz w:val="21"/>
          <w:szCs w:val="21"/>
          <w:lang w:val="en-US"/>
        </w:rPr>
        <w:t>have been taken</w:t>
      </w:r>
      <w:proofErr w:type="gramEnd"/>
      <w:r w:rsidRPr="00E6149E">
        <w:rPr>
          <w:rFonts w:ascii="Arial" w:hAnsi="Arial" w:cs="Arial"/>
          <w:b/>
          <w:sz w:val="21"/>
          <w:szCs w:val="21"/>
          <w:lang w:val="en-US"/>
        </w:rPr>
        <w:t xml:space="preserve"> to guarantee universal coverage, ensuring that every older </w:t>
      </w:r>
      <w:proofErr w:type="spellStart"/>
      <w:r w:rsidRPr="00E6149E">
        <w:rPr>
          <w:rFonts w:ascii="Arial" w:hAnsi="Arial" w:cs="Arial"/>
          <w:b/>
          <w:sz w:val="21"/>
          <w:szCs w:val="21"/>
          <w:lang w:val="en-US"/>
        </w:rPr>
        <w:t>prson</w:t>
      </w:r>
      <w:proofErr w:type="spellEnd"/>
      <w:r w:rsidRPr="00E6149E">
        <w:rPr>
          <w:rFonts w:ascii="Arial" w:hAnsi="Arial" w:cs="Arial"/>
          <w:b/>
          <w:sz w:val="21"/>
          <w:szCs w:val="21"/>
          <w:lang w:val="en-US"/>
        </w:rPr>
        <w:t xml:space="preserve"> has Access to social security and social protection schemes including non-contributory and survivor old-age pensions, to ensure an adequate, standard of living in older age? </w:t>
      </w:r>
    </w:p>
    <w:p w:rsidR="00E80974" w:rsidRPr="00E6149E" w:rsidRDefault="00E6149E" w:rsidP="00E6149E">
      <w:pPr>
        <w:spacing w:line="240" w:lineRule="auto"/>
        <w:jc w:val="both"/>
        <w:rPr>
          <w:rFonts w:ascii="Arial" w:hAnsi="Arial" w:cs="Arial"/>
          <w:sz w:val="21"/>
          <w:szCs w:val="21"/>
          <w:lang w:val="en-US"/>
        </w:rPr>
      </w:pPr>
      <w:r w:rsidRPr="00E6149E">
        <w:rPr>
          <w:rFonts w:ascii="Arial" w:hAnsi="Arial" w:cs="Arial"/>
          <w:sz w:val="21"/>
          <w:szCs w:val="21"/>
          <w:lang w:val="en-US"/>
        </w:rPr>
        <w:t>The coverage of social protection is limited, because although the non-contributory health and pension programs have expanded, their benefits and protection are lower than those provided by the contributive systems</w:t>
      </w:r>
      <w:r w:rsidR="00E80974" w:rsidRPr="004C757E">
        <w:rPr>
          <w:rStyle w:val="Refdenotaalfinal"/>
          <w:rFonts w:ascii="Arial" w:hAnsi="Arial" w:cs="Arial"/>
          <w:sz w:val="21"/>
          <w:szCs w:val="21"/>
        </w:rPr>
        <w:endnoteReference w:id="14"/>
      </w:r>
      <w:r w:rsidR="00E80974" w:rsidRPr="00E6149E">
        <w:rPr>
          <w:rFonts w:ascii="Arial" w:hAnsi="Arial" w:cs="Arial"/>
          <w:sz w:val="21"/>
          <w:szCs w:val="21"/>
          <w:lang w:val="en-US"/>
        </w:rPr>
        <w:t xml:space="preserve"> </w:t>
      </w:r>
      <w:r>
        <w:rPr>
          <w:rFonts w:ascii="Arial" w:hAnsi="Arial" w:cs="Arial"/>
          <w:sz w:val="21"/>
          <w:szCs w:val="21"/>
          <w:lang w:val="en-US"/>
        </w:rPr>
        <w:t>In Mexico, although there have been advances in recent years, 31.3% of people over 65 years of age, lack any type of pension</w:t>
      </w:r>
      <w:r w:rsidR="00E80974" w:rsidRPr="00E6149E">
        <w:rPr>
          <w:rFonts w:ascii="Arial" w:hAnsi="Arial" w:cs="Arial"/>
          <w:sz w:val="21"/>
          <w:szCs w:val="21"/>
          <w:lang w:val="en-US"/>
        </w:rPr>
        <w:t>.</w:t>
      </w:r>
      <w:r w:rsidR="00E80974" w:rsidRPr="004C757E">
        <w:rPr>
          <w:rStyle w:val="Refdenotaalfinal"/>
          <w:rFonts w:ascii="Arial" w:hAnsi="Arial" w:cs="Arial"/>
          <w:sz w:val="21"/>
          <w:szCs w:val="21"/>
        </w:rPr>
        <w:endnoteReference w:id="15"/>
      </w:r>
      <w:r w:rsidR="00E80974" w:rsidRPr="00E6149E">
        <w:rPr>
          <w:rFonts w:ascii="Arial" w:hAnsi="Arial" w:cs="Arial"/>
          <w:sz w:val="21"/>
          <w:szCs w:val="21"/>
          <w:lang w:val="en-US"/>
        </w:rPr>
        <w:t xml:space="preserve"> </w:t>
      </w:r>
      <w:r w:rsidRPr="00E6149E">
        <w:rPr>
          <w:rFonts w:ascii="Arial" w:hAnsi="Arial" w:cs="Arial"/>
          <w:sz w:val="21"/>
          <w:szCs w:val="21"/>
          <w:lang w:val="en-US"/>
        </w:rPr>
        <w:t>The lack of access to social security is still the highest among those considered multidimensional measurement of poverty. In 2016, 55.8% of the population lacked access to social security</w:t>
      </w:r>
      <w:r w:rsidR="00E80974" w:rsidRPr="00E6149E">
        <w:rPr>
          <w:rFonts w:ascii="Arial" w:hAnsi="Arial" w:cs="Arial"/>
          <w:sz w:val="21"/>
          <w:szCs w:val="21"/>
          <w:lang w:val="en-US"/>
        </w:rPr>
        <w:t>.</w:t>
      </w:r>
      <w:r w:rsidR="00E80974" w:rsidRPr="004C757E">
        <w:rPr>
          <w:rStyle w:val="Refdenotaalfinal"/>
          <w:rFonts w:ascii="Arial" w:hAnsi="Arial" w:cs="Arial"/>
          <w:sz w:val="21"/>
          <w:szCs w:val="21"/>
        </w:rPr>
        <w:endnoteReference w:id="16"/>
      </w:r>
      <w:r w:rsidR="00E80974" w:rsidRPr="00E6149E">
        <w:rPr>
          <w:rFonts w:ascii="Arial" w:hAnsi="Arial" w:cs="Arial"/>
          <w:sz w:val="21"/>
          <w:szCs w:val="21"/>
          <w:lang w:val="en-US"/>
        </w:rPr>
        <w:t xml:space="preserve"> </w:t>
      </w:r>
    </w:p>
    <w:p w:rsidR="00E80974" w:rsidRDefault="00E6149E" w:rsidP="00E80974">
      <w:pPr>
        <w:spacing w:line="240" w:lineRule="auto"/>
        <w:jc w:val="both"/>
        <w:rPr>
          <w:rFonts w:ascii="Arial" w:hAnsi="Arial" w:cs="Arial"/>
          <w:sz w:val="21"/>
          <w:szCs w:val="21"/>
          <w:lang w:val="en-US"/>
        </w:rPr>
      </w:pPr>
      <w:r w:rsidRPr="00E6149E">
        <w:rPr>
          <w:rFonts w:ascii="Arial" w:hAnsi="Arial" w:cs="Arial"/>
          <w:sz w:val="21"/>
          <w:szCs w:val="21"/>
          <w:lang w:val="en-US"/>
        </w:rPr>
        <w:t xml:space="preserve">State programs vary in the type of benefits they provide, </w:t>
      </w:r>
      <w:r w:rsidR="002B60AA">
        <w:rPr>
          <w:rFonts w:ascii="Arial" w:hAnsi="Arial" w:cs="Arial"/>
          <w:sz w:val="21"/>
          <w:szCs w:val="21"/>
          <w:lang w:val="en-US"/>
        </w:rPr>
        <w:t>also</w:t>
      </w:r>
      <w:r w:rsidRPr="00E6149E">
        <w:rPr>
          <w:rFonts w:ascii="Arial" w:hAnsi="Arial" w:cs="Arial"/>
          <w:sz w:val="21"/>
          <w:szCs w:val="21"/>
          <w:lang w:val="en-US"/>
        </w:rPr>
        <w:t xml:space="preserve"> the age that older persons must reach in order to be beneficiaries. In general, they require a condition of residence in the entity during a specific time and</w:t>
      </w:r>
      <w:r w:rsidR="002B60AA">
        <w:rPr>
          <w:rFonts w:ascii="Arial" w:hAnsi="Arial" w:cs="Arial"/>
          <w:sz w:val="21"/>
          <w:szCs w:val="21"/>
          <w:lang w:val="en-US"/>
        </w:rPr>
        <w:t xml:space="preserve"> do</w:t>
      </w:r>
      <w:r w:rsidRPr="00E6149E">
        <w:rPr>
          <w:rFonts w:ascii="Arial" w:hAnsi="Arial" w:cs="Arial"/>
          <w:sz w:val="21"/>
          <w:szCs w:val="21"/>
          <w:lang w:val="en-US"/>
        </w:rPr>
        <w:t xml:space="preserve"> not receive any other pension benefit.</w:t>
      </w:r>
      <w:r w:rsidR="00E80974" w:rsidRPr="004C757E">
        <w:rPr>
          <w:rStyle w:val="Refdenotaalfinal"/>
          <w:rFonts w:ascii="Arial" w:hAnsi="Arial" w:cs="Arial"/>
          <w:sz w:val="21"/>
          <w:szCs w:val="21"/>
        </w:rPr>
        <w:endnoteReference w:id="17"/>
      </w:r>
    </w:p>
    <w:p w:rsidR="002B60AA" w:rsidRDefault="002B60AA" w:rsidP="00E80974">
      <w:pPr>
        <w:spacing w:line="240" w:lineRule="auto"/>
        <w:jc w:val="both"/>
        <w:rPr>
          <w:rFonts w:ascii="Arial" w:hAnsi="Arial" w:cs="Arial"/>
          <w:sz w:val="21"/>
          <w:szCs w:val="21"/>
          <w:lang w:val="en-US"/>
        </w:rPr>
      </w:pPr>
    </w:p>
    <w:p w:rsidR="002B60AA" w:rsidRPr="002B60AA" w:rsidRDefault="002B60AA" w:rsidP="00E80974">
      <w:pPr>
        <w:spacing w:line="240" w:lineRule="auto"/>
        <w:jc w:val="both"/>
        <w:rPr>
          <w:rFonts w:ascii="Arial" w:hAnsi="Arial" w:cs="Arial"/>
          <w:sz w:val="21"/>
          <w:szCs w:val="21"/>
          <w:lang w:val="en-US"/>
        </w:rPr>
      </w:pPr>
    </w:p>
    <w:p w:rsidR="002B60AA" w:rsidRPr="00B30BA2" w:rsidRDefault="002B60AA" w:rsidP="0056703E">
      <w:pPr>
        <w:pStyle w:val="Prrafodelista"/>
        <w:numPr>
          <w:ilvl w:val="0"/>
          <w:numId w:val="2"/>
        </w:numPr>
        <w:spacing w:line="240" w:lineRule="auto"/>
        <w:jc w:val="both"/>
        <w:rPr>
          <w:rFonts w:ascii="Arial" w:hAnsi="Arial" w:cs="Arial"/>
          <w:sz w:val="21"/>
          <w:szCs w:val="21"/>
          <w:lang w:val="en-US"/>
        </w:rPr>
      </w:pPr>
      <w:r w:rsidRPr="002B60AA">
        <w:rPr>
          <w:rFonts w:ascii="Arial" w:hAnsi="Arial" w:cs="Arial"/>
          <w:b/>
          <w:sz w:val="21"/>
          <w:szCs w:val="21"/>
          <w:lang w:val="en-US"/>
        </w:rPr>
        <w:lastRenderedPageBreak/>
        <w:t xml:space="preserve">What steps have been taken to ensure that every older person has access to social security and social protection </w:t>
      </w:r>
      <w:proofErr w:type="gramStart"/>
      <w:r w:rsidRPr="002B60AA">
        <w:rPr>
          <w:rFonts w:ascii="Arial" w:hAnsi="Arial" w:cs="Arial"/>
          <w:b/>
          <w:sz w:val="21"/>
          <w:szCs w:val="21"/>
          <w:lang w:val="en-US"/>
        </w:rPr>
        <w:t>schemes which</w:t>
      </w:r>
      <w:proofErr w:type="gramEnd"/>
      <w:r w:rsidRPr="002B60AA">
        <w:rPr>
          <w:rFonts w:ascii="Arial" w:hAnsi="Arial" w:cs="Arial"/>
          <w:b/>
          <w:sz w:val="21"/>
          <w:szCs w:val="21"/>
          <w:lang w:val="en-US"/>
        </w:rPr>
        <w:t xml:space="preserve"> guarantee them access to adequate and affordable health and care and support services for independent living in older age? </w:t>
      </w:r>
    </w:p>
    <w:p w:rsidR="002B60AA" w:rsidRPr="00B30BA2" w:rsidRDefault="002B60AA" w:rsidP="002B60AA">
      <w:pPr>
        <w:pStyle w:val="Prrafodelista"/>
        <w:spacing w:line="240" w:lineRule="auto"/>
        <w:jc w:val="both"/>
        <w:rPr>
          <w:rFonts w:ascii="Arial" w:hAnsi="Arial" w:cs="Arial"/>
          <w:sz w:val="21"/>
          <w:szCs w:val="21"/>
          <w:lang w:val="en-US"/>
        </w:rPr>
      </w:pPr>
    </w:p>
    <w:p w:rsidR="00E80974" w:rsidRPr="00A664EF" w:rsidRDefault="00E80974" w:rsidP="002B60AA">
      <w:pPr>
        <w:spacing w:line="240" w:lineRule="auto"/>
        <w:jc w:val="both"/>
        <w:rPr>
          <w:rFonts w:ascii="Arial" w:hAnsi="Arial" w:cs="Arial"/>
          <w:sz w:val="21"/>
          <w:szCs w:val="21"/>
          <w:lang w:val="en-US"/>
        </w:rPr>
      </w:pPr>
      <w:r w:rsidRPr="00A664EF">
        <w:rPr>
          <w:rFonts w:ascii="Arial" w:hAnsi="Arial" w:cs="Arial"/>
          <w:b/>
          <w:sz w:val="21"/>
          <w:szCs w:val="21"/>
        </w:rPr>
        <w:t>a)</w:t>
      </w:r>
      <w:r w:rsidRPr="00A664EF">
        <w:rPr>
          <w:rFonts w:ascii="Arial" w:hAnsi="Arial" w:cs="Arial"/>
          <w:sz w:val="21"/>
          <w:szCs w:val="21"/>
        </w:rPr>
        <w:t xml:space="preserve"> </w:t>
      </w:r>
      <w:r w:rsidR="002B60AA" w:rsidRPr="00A664EF">
        <w:rPr>
          <w:rFonts w:ascii="Arial" w:hAnsi="Arial" w:cs="Arial"/>
          <w:sz w:val="21"/>
          <w:szCs w:val="21"/>
        </w:rPr>
        <w:t xml:space="preserve">Popular </w:t>
      </w:r>
      <w:proofErr w:type="spellStart"/>
      <w:r w:rsidR="002B60AA" w:rsidRPr="00A664EF">
        <w:rPr>
          <w:rFonts w:ascii="Arial" w:hAnsi="Arial" w:cs="Arial"/>
          <w:sz w:val="21"/>
          <w:szCs w:val="21"/>
        </w:rPr>
        <w:t>insurance</w:t>
      </w:r>
      <w:proofErr w:type="spellEnd"/>
      <w:r w:rsidR="00A664EF" w:rsidRPr="00A664EF">
        <w:rPr>
          <w:rFonts w:ascii="Arial" w:hAnsi="Arial" w:cs="Arial"/>
          <w:sz w:val="21"/>
          <w:szCs w:val="21"/>
        </w:rPr>
        <w:t xml:space="preserve"> (Seguro Popular)</w:t>
      </w:r>
      <w:r w:rsidR="002B60AA" w:rsidRPr="00A664EF">
        <w:rPr>
          <w:rFonts w:ascii="Arial" w:hAnsi="Arial" w:cs="Arial"/>
          <w:sz w:val="21"/>
          <w:szCs w:val="21"/>
        </w:rPr>
        <w:t xml:space="preserve">. </w:t>
      </w:r>
      <w:r w:rsidR="002B60AA" w:rsidRPr="002B60AA">
        <w:rPr>
          <w:rFonts w:ascii="Arial" w:hAnsi="Arial" w:cs="Arial"/>
          <w:sz w:val="21"/>
          <w:szCs w:val="21"/>
          <w:lang w:val="en-US"/>
        </w:rPr>
        <w:t>Program whose objective is to protect the population that does not have a social insurance of medical expenses, in order to have access to health services, medical, hospital, pharmaceutical and surgical</w:t>
      </w:r>
      <w:r w:rsidR="00A664EF">
        <w:rPr>
          <w:rFonts w:ascii="Arial" w:hAnsi="Arial" w:cs="Arial"/>
          <w:sz w:val="21"/>
          <w:szCs w:val="21"/>
          <w:lang w:val="en-US"/>
        </w:rPr>
        <w:t xml:space="preserve"> services </w:t>
      </w:r>
      <w:r w:rsidRPr="00A664EF">
        <w:rPr>
          <w:rFonts w:ascii="Arial" w:hAnsi="Arial" w:cs="Arial"/>
          <w:sz w:val="21"/>
          <w:szCs w:val="21"/>
          <w:lang w:val="en-US"/>
        </w:rPr>
        <w:t>.</w:t>
      </w:r>
      <w:r w:rsidRPr="004C757E">
        <w:rPr>
          <w:rStyle w:val="Refdenotaalfinal"/>
          <w:rFonts w:ascii="Arial" w:hAnsi="Arial" w:cs="Arial"/>
          <w:sz w:val="21"/>
          <w:szCs w:val="21"/>
        </w:rPr>
        <w:endnoteReference w:id="18"/>
      </w:r>
      <w:r w:rsidRPr="00A664EF">
        <w:rPr>
          <w:rFonts w:ascii="Arial" w:hAnsi="Arial" w:cs="Arial"/>
          <w:sz w:val="21"/>
          <w:szCs w:val="21"/>
          <w:lang w:val="en-US"/>
        </w:rPr>
        <w:t xml:space="preserve"> </w:t>
      </w:r>
      <w:r w:rsidR="00A664EF" w:rsidRPr="00A664EF">
        <w:rPr>
          <w:rFonts w:ascii="Arial" w:hAnsi="Arial" w:cs="Arial"/>
          <w:sz w:val="21"/>
          <w:szCs w:val="21"/>
          <w:lang w:val="en-US"/>
        </w:rPr>
        <w:t xml:space="preserve">On 2015, 86.30% of elderly people </w:t>
      </w:r>
      <w:proofErr w:type="gramStart"/>
      <w:r w:rsidR="00A664EF" w:rsidRPr="00A664EF">
        <w:rPr>
          <w:rFonts w:ascii="Arial" w:hAnsi="Arial" w:cs="Arial"/>
          <w:sz w:val="21"/>
          <w:szCs w:val="21"/>
          <w:lang w:val="en-US"/>
        </w:rPr>
        <w:t>were affiliated</w:t>
      </w:r>
      <w:proofErr w:type="gramEnd"/>
      <w:r w:rsidR="00A664EF" w:rsidRPr="00A664EF">
        <w:rPr>
          <w:rFonts w:ascii="Arial" w:hAnsi="Arial" w:cs="Arial"/>
          <w:sz w:val="21"/>
          <w:szCs w:val="21"/>
          <w:lang w:val="en-US"/>
        </w:rPr>
        <w:t xml:space="preserve"> with a health service, of which 40.89% were enrolled in </w:t>
      </w:r>
      <w:proofErr w:type="spellStart"/>
      <w:r w:rsidR="00A664EF" w:rsidRPr="00A664EF">
        <w:rPr>
          <w:rFonts w:ascii="Arial" w:hAnsi="Arial" w:cs="Arial"/>
          <w:sz w:val="21"/>
          <w:szCs w:val="21"/>
          <w:lang w:val="en-US"/>
        </w:rPr>
        <w:t>Seguro</w:t>
      </w:r>
      <w:proofErr w:type="spellEnd"/>
      <w:r w:rsidR="00A664EF" w:rsidRPr="00A664EF">
        <w:rPr>
          <w:rFonts w:ascii="Arial" w:hAnsi="Arial" w:cs="Arial"/>
          <w:sz w:val="21"/>
          <w:szCs w:val="21"/>
          <w:lang w:val="en-US"/>
        </w:rPr>
        <w:t xml:space="preserve"> Popular</w:t>
      </w:r>
      <w:r w:rsidRPr="00A664EF">
        <w:rPr>
          <w:rFonts w:ascii="Arial" w:hAnsi="Arial" w:cs="Arial"/>
          <w:sz w:val="21"/>
          <w:szCs w:val="21"/>
          <w:lang w:val="en-US"/>
        </w:rPr>
        <w:t>.</w:t>
      </w:r>
      <w:r w:rsidRPr="004C757E">
        <w:rPr>
          <w:rStyle w:val="Refdenotaalfinal"/>
          <w:rFonts w:ascii="Arial" w:hAnsi="Arial" w:cs="Arial"/>
          <w:sz w:val="21"/>
          <w:szCs w:val="21"/>
        </w:rPr>
        <w:endnoteReference w:id="19"/>
      </w:r>
    </w:p>
    <w:p w:rsidR="00E80974" w:rsidRPr="00A664EF" w:rsidRDefault="00E80974" w:rsidP="00E80974">
      <w:pPr>
        <w:spacing w:line="240" w:lineRule="auto"/>
        <w:jc w:val="both"/>
        <w:rPr>
          <w:rFonts w:ascii="Arial" w:hAnsi="Arial" w:cs="Arial"/>
          <w:sz w:val="21"/>
          <w:szCs w:val="21"/>
          <w:lang w:val="en-US"/>
        </w:rPr>
      </w:pPr>
      <w:r w:rsidRPr="00A664EF">
        <w:rPr>
          <w:rFonts w:ascii="Arial" w:hAnsi="Arial" w:cs="Arial"/>
          <w:b/>
          <w:sz w:val="21"/>
          <w:szCs w:val="21"/>
          <w:lang w:val="en-US"/>
        </w:rPr>
        <w:t>b)</w:t>
      </w:r>
      <w:r w:rsidRPr="00A664EF">
        <w:rPr>
          <w:rFonts w:ascii="Arial" w:hAnsi="Arial" w:cs="Arial"/>
          <w:sz w:val="21"/>
          <w:szCs w:val="21"/>
          <w:lang w:val="en-US"/>
        </w:rPr>
        <w:t xml:space="preserve"> </w:t>
      </w:r>
      <w:r w:rsidR="00A664EF" w:rsidRPr="00A664EF">
        <w:rPr>
          <w:rFonts w:ascii="Arial" w:hAnsi="Arial" w:cs="Arial"/>
          <w:sz w:val="21"/>
          <w:szCs w:val="21"/>
          <w:lang w:val="en-US"/>
        </w:rPr>
        <w:t>Non-contributory social programs. CONEVAL data reveal</w:t>
      </w:r>
      <w:r w:rsidR="00A664EF">
        <w:rPr>
          <w:rFonts w:ascii="Arial" w:hAnsi="Arial" w:cs="Arial"/>
          <w:sz w:val="21"/>
          <w:szCs w:val="21"/>
          <w:lang w:val="en-US"/>
        </w:rPr>
        <w:t>s</w:t>
      </w:r>
      <w:r w:rsidR="00A664EF" w:rsidRPr="00A664EF">
        <w:rPr>
          <w:rFonts w:ascii="Arial" w:hAnsi="Arial" w:cs="Arial"/>
          <w:sz w:val="21"/>
          <w:szCs w:val="21"/>
          <w:lang w:val="en-US"/>
        </w:rPr>
        <w:t xml:space="preserve"> that the Mexican population with lack of access to health decreased 22.9%, from 38.4% </w:t>
      </w:r>
      <w:r w:rsidR="00A664EF">
        <w:rPr>
          <w:rFonts w:ascii="Arial" w:hAnsi="Arial" w:cs="Arial"/>
          <w:sz w:val="21"/>
          <w:szCs w:val="21"/>
          <w:lang w:val="en-US"/>
        </w:rPr>
        <w:t>of 2008</w:t>
      </w:r>
      <w:r w:rsidR="00A664EF" w:rsidRPr="00A664EF">
        <w:rPr>
          <w:rFonts w:ascii="Arial" w:hAnsi="Arial" w:cs="Arial"/>
          <w:sz w:val="21"/>
          <w:szCs w:val="21"/>
          <w:lang w:val="en-US"/>
        </w:rPr>
        <w:t xml:space="preserve"> to 15.5% </w:t>
      </w:r>
      <w:r w:rsidR="00A664EF">
        <w:rPr>
          <w:rFonts w:ascii="Arial" w:hAnsi="Arial" w:cs="Arial"/>
          <w:sz w:val="21"/>
          <w:szCs w:val="21"/>
          <w:lang w:val="en-US"/>
        </w:rPr>
        <w:t>on</w:t>
      </w:r>
      <w:r w:rsidR="00A664EF" w:rsidRPr="00A664EF">
        <w:rPr>
          <w:rFonts w:ascii="Arial" w:hAnsi="Arial" w:cs="Arial"/>
          <w:sz w:val="21"/>
          <w:szCs w:val="21"/>
          <w:lang w:val="en-US"/>
        </w:rPr>
        <w:t xml:space="preserve"> 2016, and highlights that there were significant advances in the coverage of social programs that address safety-related risks for the elderly</w:t>
      </w:r>
      <w:r w:rsidR="00A664EF">
        <w:rPr>
          <w:rFonts w:ascii="Arial" w:hAnsi="Arial" w:cs="Arial"/>
          <w:sz w:val="21"/>
          <w:szCs w:val="21"/>
          <w:lang w:val="en-US"/>
        </w:rPr>
        <w:t xml:space="preserve"> </w:t>
      </w:r>
      <w:r w:rsidRPr="004C757E">
        <w:rPr>
          <w:rStyle w:val="Refdenotaalfinal"/>
          <w:rFonts w:ascii="Arial" w:hAnsi="Arial" w:cs="Arial"/>
          <w:sz w:val="21"/>
          <w:szCs w:val="21"/>
        </w:rPr>
        <w:endnoteReference w:id="20"/>
      </w:r>
    </w:p>
    <w:p w:rsidR="00E80974" w:rsidRDefault="00E80974" w:rsidP="00E80974">
      <w:pPr>
        <w:spacing w:line="240" w:lineRule="auto"/>
        <w:jc w:val="both"/>
        <w:rPr>
          <w:rFonts w:ascii="Arial" w:hAnsi="Arial" w:cs="Arial"/>
          <w:sz w:val="21"/>
          <w:szCs w:val="21"/>
          <w:lang w:val="en-US"/>
        </w:rPr>
      </w:pPr>
      <w:r w:rsidRPr="00A664EF">
        <w:rPr>
          <w:rFonts w:ascii="Arial" w:hAnsi="Arial" w:cs="Arial"/>
          <w:b/>
          <w:sz w:val="21"/>
          <w:szCs w:val="21"/>
          <w:lang w:val="en-US"/>
        </w:rPr>
        <w:t>c)</w:t>
      </w:r>
      <w:r w:rsidRPr="00A664EF">
        <w:rPr>
          <w:rFonts w:ascii="Arial" w:hAnsi="Arial" w:cs="Arial"/>
          <w:sz w:val="21"/>
          <w:szCs w:val="21"/>
          <w:lang w:val="en-US"/>
        </w:rPr>
        <w:t xml:space="preserve"> </w:t>
      </w:r>
      <w:r w:rsidR="00A664EF" w:rsidRPr="00A664EF">
        <w:rPr>
          <w:rFonts w:ascii="Arial" w:hAnsi="Arial" w:cs="Arial"/>
          <w:sz w:val="21"/>
          <w:szCs w:val="21"/>
          <w:lang w:val="en-US"/>
        </w:rPr>
        <w:t xml:space="preserve">Between 2000 and 2014, budgetary efforts </w:t>
      </w:r>
      <w:proofErr w:type="gramStart"/>
      <w:r w:rsidR="00A664EF" w:rsidRPr="00A664EF">
        <w:rPr>
          <w:rFonts w:ascii="Arial" w:hAnsi="Arial" w:cs="Arial"/>
          <w:sz w:val="21"/>
          <w:szCs w:val="21"/>
          <w:lang w:val="en-US"/>
        </w:rPr>
        <w:t>were made</w:t>
      </w:r>
      <w:proofErr w:type="gramEnd"/>
      <w:r w:rsidR="00A664EF" w:rsidRPr="00A664EF">
        <w:rPr>
          <w:rFonts w:ascii="Arial" w:hAnsi="Arial" w:cs="Arial"/>
          <w:sz w:val="21"/>
          <w:szCs w:val="21"/>
          <w:lang w:val="en-US"/>
        </w:rPr>
        <w:t xml:space="preserve"> to improve the health conditions of the population, at national and state levels; 24 of the 32 federal states increased the amount corresponding to public spending on health as a percentage of PIB (Gross domestic p</w:t>
      </w:r>
      <w:r w:rsidR="00A664EF">
        <w:rPr>
          <w:rFonts w:ascii="Arial" w:hAnsi="Arial" w:cs="Arial"/>
          <w:sz w:val="21"/>
          <w:szCs w:val="21"/>
          <w:lang w:val="en-US"/>
        </w:rPr>
        <w:t>roduct)</w:t>
      </w:r>
      <w:r w:rsidRPr="00A664EF">
        <w:rPr>
          <w:rFonts w:ascii="Arial" w:hAnsi="Arial" w:cs="Arial"/>
          <w:sz w:val="21"/>
          <w:szCs w:val="21"/>
          <w:lang w:val="en-US"/>
        </w:rPr>
        <w:t>.</w:t>
      </w:r>
      <w:r w:rsidRPr="004C757E">
        <w:rPr>
          <w:rStyle w:val="Refdenotaalfinal"/>
          <w:rFonts w:ascii="Arial" w:hAnsi="Arial" w:cs="Arial"/>
          <w:sz w:val="21"/>
          <w:szCs w:val="21"/>
        </w:rPr>
        <w:endnoteReference w:id="21"/>
      </w:r>
      <w:r w:rsidR="00A664EF" w:rsidRPr="00A664EF">
        <w:rPr>
          <w:rFonts w:ascii="Arial" w:hAnsi="Arial" w:cs="Arial"/>
          <w:sz w:val="21"/>
          <w:szCs w:val="21"/>
          <w:lang w:val="en-US"/>
        </w:rPr>
        <w:t xml:space="preserve"> </w:t>
      </w:r>
    </w:p>
    <w:p w:rsidR="00B30BA2" w:rsidRPr="00A664EF" w:rsidRDefault="00B30BA2" w:rsidP="00E80974">
      <w:pPr>
        <w:spacing w:line="240" w:lineRule="auto"/>
        <w:jc w:val="both"/>
        <w:rPr>
          <w:rFonts w:ascii="Arial" w:hAnsi="Arial" w:cs="Arial"/>
          <w:sz w:val="21"/>
          <w:szCs w:val="21"/>
          <w:lang w:val="en-US"/>
        </w:rPr>
      </w:pPr>
    </w:p>
    <w:p w:rsidR="00E80974" w:rsidRPr="004C757E" w:rsidRDefault="00B30BA2" w:rsidP="00E80974">
      <w:pPr>
        <w:spacing w:line="240" w:lineRule="auto"/>
        <w:jc w:val="both"/>
        <w:rPr>
          <w:rFonts w:ascii="Arial" w:hAnsi="Arial" w:cs="Arial"/>
          <w:b/>
          <w:sz w:val="21"/>
          <w:szCs w:val="21"/>
        </w:rPr>
      </w:pPr>
      <w:proofErr w:type="spellStart"/>
      <w:r>
        <w:rPr>
          <w:rFonts w:ascii="Arial" w:hAnsi="Arial" w:cs="Arial"/>
          <w:b/>
          <w:sz w:val="21"/>
          <w:szCs w:val="21"/>
        </w:rPr>
        <w:t>Adequacy</w:t>
      </w:r>
      <w:proofErr w:type="spellEnd"/>
    </w:p>
    <w:p w:rsidR="00E80974" w:rsidRPr="00B30BA2" w:rsidRDefault="00B30BA2" w:rsidP="00E80974">
      <w:pPr>
        <w:pStyle w:val="Prrafodelista"/>
        <w:numPr>
          <w:ilvl w:val="0"/>
          <w:numId w:val="2"/>
        </w:numPr>
        <w:spacing w:line="240" w:lineRule="auto"/>
        <w:jc w:val="both"/>
        <w:rPr>
          <w:rFonts w:ascii="Arial" w:hAnsi="Arial" w:cs="Arial"/>
          <w:b/>
          <w:sz w:val="21"/>
          <w:szCs w:val="21"/>
          <w:lang w:val="en-US"/>
        </w:rPr>
      </w:pPr>
      <w:r w:rsidRPr="00B30BA2">
        <w:rPr>
          <w:rFonts w:ascii="Arial" w:hAnsi="Arial" w:cs="Arial"/>
          <w:b/>
          <w:sz w:val="21"/>
          <w:szCs w:val="21"/>
          <w:lang w:val="en-US"/>
        </w:rPr>
        <w:t xml:space="preserve">What steps </w:t>
      </w:r>
      <w:proofErr w:type="gramStart"/>
      <w:r w:rsidRPr="00B30BA2">
        <w:rPr>
          <w:rFonts w:ascii="Arial" w:hAnsi="Arial" w:cs="Arial"/>
          <w:b/>
          <w:sz w:val="21"/>
          <w:szCs w:val="21"/>
          <w:lang w:val="en-US"/>
        </w:rPr>
        <w:t>have been taken</w:t>
      </w:r>
      <w:proofErr w:type="gramEnd"/>
      <w:r w:rsidRPr="00B30BA2">
        <w:rPr>
          <w:rFonts w:ascii="Arial" w:hAnsi="Arial" w:cs="Arial"/>
          <w:b/>
          <w:sz w:val="21"/>
          <w:szCs w:val="21"/>
          <w:lang w:val="en-US"/>
        </w:rPr>
        <w:t xml:space="preserve"> to ensure the levels of social security and social protection payments are adequate for older persons to have Access to an adequate standard of living, including adequate Access to health care and social assistance?</w:t>
      </w:r>
    </w:p>
    <w:p w:rsidR="00E80974" w:rsidRPr="00B30BA2" w:rsidRDefault="00B30BA2" w:rsidP="00E80974">
      <w:pPr>
        <w:spacing w:line="240" w:lineRule="auto"/>
        <w:jc w:val="both"/>
        <w:rPr>
          <w:rFonts w:ascii="Arial" w:hAnsi="Arial" w:cs="Arial"/>
          <w:sz w:val="21"/>
          <w:szCs w:val="21"/>
          <w:lang w:val="en-US"/>
        </w:rPr>
      </w:pPr>
      <w:proofErr w:type="gramStart"/>
      <w:r w:rsidRPr="00B30BA2">
        <w:rPr>
          <w:rFonts w:ascii="Arial" w:hAnsi="Arial" w:cs="Arial"/>
          <w:sz w:val="21"/>
          <w:szCs w:val="21"/>
          <w:lang w:val="en-US"/>
        </w:rPr>
        <w:t xml:space="preserve">a) On 2017 the National Human Rights Commission of Mexico published the report </w:t>
      </w:r>
      <w:r w:rsidRPr="00B30BA2">
        <w:rPr>
          <w:rFonts w:ascii="Arial" w:hAnsi="Arial" w:cs="Arial"/>
          <w:i/>
          <w:sz w:val="21"/>
          <w:szCs w:val="21"/>
          <w:lang w:val="en-US"/>
        </w:rPr>
        <w:t>Human Rights and Poverty Public policies against poverty with the rights perspective of Article 1 of the Constitution</w:t>
      </w:r>
      <w:r>
        <w:rPr>
          <w:rFonts w:ascii="Arial" w:hAnsi="Arial" w:cs="Arial"/>
          <w:sz w:val="21"/>
          <w:szCs w:val="21"/>
          <w:lang w:val="en-US"/>
        </w:rPr>
        <w:t xml:space="preserve">, in which it is proposed </w:t>
      </w:r>
      <w:r w:rsidRPr="00B30BA2">
        <w:rPr>
          <w:rFonts w:ascii="Arial" w:hAnsi="Arial" w:cs="Arial"/>
          <w:sz w:val="21"/>
          <w:szCs w:val="21"/>
          <w:lang w:val="en-US"/>
        </w:rPr>
        <w:t>to formulate a macro-policy of universal and integrated social protection, which allows align resources, gradually and progressively overcome the segmentation of health and social security and also contribute to improving the productivity of working people</w:t>
      </w:r>
      <w:r w:rsidR="00E80974" w:rsidRPr="00B30BA2">
        <w:rPr>
          <w:rFonts w:ascii="Arial" w:hAnsi="Arial" w:cs="Arial"/>
          <w:sz w:val="21"/>
          <w:szCs w:val="21"/>
          <w:lang w:val="en-US"/>
        </w:rPr>
        <w:t xml:space="preserve">; </w:t>
      </w:r>
      <w:r>
        <w:rPr>
          <w:rFonts w:ascii="Arial" w:hAnsi="Arial" w:cs="Arial"/>
          <w:sz w:val="21"/>
          <w:szCs w:val="21"/>
          <w:lang w:val="en-US"/>
        </w:rPr>
        <w:t xml:space="preserve">which must guarantee </w:t>
      </w:r>
      <w:r w:rsidRPr="00B30BA2">
        <w:rPr>
          <w:rFonts w:ascii="Arial" w:hAnsi="Arial" w:cs="Arial"/>
          <w:sz w:val="21"/>
          <w:szCs w:val="21"/>
          <w:lang w:val="en-US"/>
        </w:rPr>
        <w:t>the universal coverage of health services, pensions for advanced age and transfers of basic income for people who have temporary or permanent disability or other condition that prevents them from generating income by themselves, and create a policy of modern social assistance and not paternalistic or monetarized for the attention of special conditions</w:t>
      </w:r>
      <w:r w:rsidR="00E80974" w:rsidRPr="00B30BA2">
        <w:rPr>
          <w:rFonts w:ascii="Arial" w:hAnsi="Arial" w:cs="Arial"/>
          <w:sz w:val="21"/>
          <w:szCs w:val="21"/>
          <w:lang w:val="en-US"/>
        </w:rPr>
        <w:t>.</w:t>
      </w:r>
      <w:r w:rsidR="00E80974" w:rsidRPr="004C757E">
        <w:rPr>
          <w:rStyle w:val="Refdenotaalfinal"/>
          <w:rFonts w:ascii="Arial" w:hAnsi="Arial" w:cs="Arial"/>
          <w:sz w:val="21"/>
          <w:szCs w:val="21"/>
        </w:rPr>
        <w:endnoteReference w:id="22"/>
      </w:r>
      <w:proofErr w:type="gramEnd"/>
    </w:p>
    <w:p w:rsidR="00E80974" w:rsidRPr="0041382D" w:rsidRDefault="00E80974" w:rsidP="00E80974">
      <w:pPr>
        <w:spacing w:line="240" w:lineRule="auto"/>
        <w:jc w:val="both"/>
        <w:rPr>
          <w:rFonts w:ascii="Arial" w:hAnsi="Arial" w:cs="Arial"/>
          <w:sz w:val="21"/>
          <w:szCs w:val="21"/>
          <w:lang w:val="en-US"/>
        </w:rPr>
      </w:pPr>
      <w:proofErr w:type="gramStart"/>
      <w:r w:rsidRPr="0041382D">
        <w:rPr>
          <w:rFonts w:ascii="Arial" w:hAnsi="Arial" w:cs="Arial"/>
          <w:b/>
          <w:sz w:val="21"/>
          <w:szCs w:val="21"/>
          <w:lang w:val="en-US"/>
        </w:rPr>
        <w:t>b)</w:t>
      </w:r>
      <w:r w:rsidRPr="0041382D">
        <w:rPr>
          <w:rFonts w:ascii="Arial" w:hAnsi="Arial" w:cs="Arial"/>
          <w:sz w:val="21"/>
          <w:szCs w:val="21"/>
          <w:lang w:val="en-US"/>
        </w:rPr>
        <w:t xml:space="preserve"> </w:t>
      </w:r>
      <w:r w:rsidR="0041382D" w:rsidRPr="0041382D">
        <w:rPr>
          <w:rFonts w:ascii="Arial" w:hAnsi="Arial" w:cs="Arial"/>
          <w:sz w:val="21"/>
          <w:szCs w:val="21"/>
          <w:lang w:val="en-US"/>
        </w:rPr>
        <w:t xml:space="preserve">Adoption of </w:t>
      </w:r>
      <w:r w:rsidR="0041382D" w:rsidRPr="0041382D">
        <w:rPr>
          <w:rFonts w:ascii="Arial" w:hAnsi="Arial" w:cs="Arial"/>
          <w:i/>
          <w:sz w:val="21"/>
          <w:szCs w:val="21"/>
          <w:lang w:val="en-US"/>
        </w:rPr>
        <w:t>Declaration of Aging with Dignity and Human Rights</w:t>
      </w:r>
      <w:r w:rsidR="0041382D" w:rsidRPr="0041382D">
        <w:rPr>
          <w:rFonts w:ascii="Arial" w:hAnsi="Arial" w:cs="Arial"/>
          <w:sz w:val="21"/>
          <w:szCs w:val="21"/>
          <w:lang w:val="en-US"/>
        </w:rPr>
        <w:t xml:space="preserve"> (November 2017), by public human rights organizations, dependencies and entities of the Executive Powers, representatives of the Legislative and Judicial Powers, civil society organizations, academic institutions and society</w:t>
      </w:r>
      <w:r w:rsidR="0041382D">
        <w:rPr>
          <w:rFonts w:ascii="Arial" w:hAnsi="Arial" w:cs="Arial"/>
          <w:sz w:val="21"/>
          <w:szCs w:val="21"/>
          <w:lang w:val="en-US"/>
        </w:rPr>
        <w:t xml:space="preserve"> in </w:t>
      </w:r>
      <w:r w:rsidR="0041382D" w:rsidRPr="0041382D">
        <w:rPr>
          <w:rFonts w:ascii="Arial" w:hAnsi="Arial" w:cs="Arial"/>
          <w:sz w:val="21"/>
          <w:szCs w:val="21"/>
          <w:lang w:val="en-US"/>
        </w:rPr>
        <w:t xml:space="preserve">which </w:t>
      </w:r>
      <w:r w:rsidR="0041382D">
        <w:rPr>
          <w:rFonts w:ascii="Arial" w:hAnsi="Arial" w:cs="Arial"/>
          <w:sz w:val="21"/>
          <w:szCs w:val="21"/>
          <w:lang w:val="en-US"/>
        </w:rPr>
        <w:t xml:space="preserve">it was expressed a </w:t>
      </w:r>
      <w:r w:rsidR="0041382D" w:rsidRPr="0041382D">
        <w:rPr>
          <w:rFonts w:ascii="Arial" w:hAnsi="Arial" w:cs="Arial"/>
          <w:sz w:val="21"/>
          <w:szCs w:val="21"/>
          <w:lang w:val="en-US"/>
        </w:rPr>
        <w:t>shared concern about the lack of prevention and care actions -both in public and private policies- of the multiple discriminations that affect the</w:t>
      </w:r>
      <w:r w:rsidR="0041382D">
        <w:rPr>
          <w:rFonts w:ascii="Arial" w:hAnsi="Arial" w:cs="Arial"/>
          <w:sz w:val="21"/>
          <w:szCs w:val="21"/>
          <w:lang w:val="en-US"/>
        </w:rPr>
        <w:t xml:space="preserve"> elderly</w:t>
      </w:r>
      <w:r w:rsidRPr="0041382D">
        <w:rPr>
          <w:rFonts w:ascii="Arial" w:hAnsi="Arial" w:cs="Arial"/>
          <w:sz w:val="21"/>
          <w:szCs w:val="21"/>
          <w:lang w:val="en-US"/>
        </w:rPr>
        <w:t>.</w:t>
      </w:r>
      <w:r w:rsidRPr="004C757E">
        <w:rPr>
          <w:rStyle w:val="Refdenotaalfinal"/>
          <w:rFonts w:ascii="Arial" w:hAnsi="Arial" w:cs="Arial"/>
          <w:sz w:val="21"/>
          <w:szCs w:val="21"/>
        </w:rPr>
        <w:endnoteReference w:id="23"/>
      </w:r>
      <w:proofErr w:type="gramEnd"/>
    </w:p>
    <w:p w:rsidR="0041382D" w:rsidRDefault="0041382D" w:rsidP="00E80974">
      <w:pPr>
        <w:spacing w:line="240" w:lineRule="auto"/>
        <w:jc w:val="both"/>
        <w:rPr>
          <w:rFonts w:ascii="Arial" w:hAnsi="Arial" w:cs="Arial"/>
          <w:b/>
          <w:sz w:val="21"/>
          <w:szCs w:val="21"/>
          <w:lang w:val="en-US"/>
        </w:rPr>
      </w:pPr>
    </w:p>
    <w:p w:rsidR="00E80974" w:rsidRDefault="0041382D" w:rsidP="00E80974">
      <w:pPr>
        <w:spacing w:line="240" w:lineRule="auto"/>
        <w:jc w:val="both"/>
        <w:rPr>
          <w:rFonts w:ascii="Arial" w:hAnsi="Arial" w:cs="Arial"/>
          <w:b/>
          <w:sz w:val="21"/>
          <w:szCs w:val="21"/>
        </w:rPr>
      </w:pPr>
      <w:proofErr w:type="spellStart"/>
      <w:r>
        <w:rPr>
          <w:rFonts w:ascii="Arial" w:hAnsi="Arial" w:cs="Arial"/>
          <w:b/>
          <w:sz w:val="21"/>
          <w:szCs w:val="21"/>
        </w:rPr>
        <w:t>Accesibility</w:t>
      </w:r>
      <w:proofErr w:type="spellEnd"/>
    </w:p>
    <w:p w:rsidR="0041382D" w:rsidRPr="004C757E" w:rsidRDefault="0041382D" w:rsidP="00E80974">
      <w:pPr>
        <w:spacing w:line="240" w:lineRule="auto"/>
        <w:jc w:val="both"/>
        <w:rPr>
          <w:rFonts w:ascii="Arial" w:hAnsi="Arial" w:cs="Arial"/>
          <w:b/>
          <w:sz w:val="21"/>
          <w:szCs w:val="21"/>
        </w:rPr>
      </w:pPr>
    </w:p>
    <w:p w:rsidR="00E80974" w:rsidRPr="0041382D" w:rsidRDefault="0041382D" w:rsidP="00E80974">
      <w:pPr>
        <w:pStyle w:val="Prrafodelista"/>
        <w:numPr>
          <w:ilvl w:val="0"/>
          <w:numId w:val="2"/>
        </w:numPr>
        <w:spacing w:line="240" w:lineRule="auto"/>
        <w:jc w:val="both"/>
        <w:rPr>
          <w:rFonts w:ascii="Arial" w:hAnsi="Arial" w:cs="Arial"/>
          <w:b/>
          <w:sz w:val="21"/>
          <w:szCs w:val="21"/>
          <w:lang w:val="en-US"/>
        </w:rPr>
      </w:pPr>
      <w:r w:rsidRPr="0041382D">
        <w:rPr>
          <w:rFonts w:ascii="Arial" w:hAnsi="Arial" w:cs="Arial"/>
          <w:b/>
          <w:sz w:val="21"/>
          <w:szCs w:val="21"/>
          <w:lang w:val="en-US"/>
        </w:rPr>
        <w:t xml:space="preserve">What steps have been taken to ensure older persons have adequate and </w:t>
      </w:r>
      <w:proofErr w:type="spellStart"/>
      <w:r w:rsidRPr="0041382D">
        <w:rPr>
          <w:rFonts w:ascii="Arial" w:hAnsi="Arial" w:cs="Arial"/>
          <w:b/>
          <w:sz w:val="21"/>
          <w:szCs w:val="21"/>
          <w:lang w:val="en-US"/>
        </w:rPr>
        <w:t>accesible</w:t>
      </w:r>
      <w:proofErr w:type="spellEnd"/>
      <w:r w:rsidRPr="0041382D">
        <w:rPr>
          <w:rFonts w:ascii="Arial" w:hAnsi="Arial" w:cs="Arial"/>
          <w:b/>
          <w:sz w:val="21"/>
          <w:szCs w:val="21"/>
          <w:lang w:val="en-US"/>
        </w:rPr>
        <w:t xml:space="preserve"> information on available social security and social protection schemes and how to claim their </w:t>
      </w:r>
      <w:r w:rsidR="00825A27">
        <w:rPr>
          <w:rFonts w:ascii="Arial" w:hAnsi="Arial" w:cs="Arial"/>
          <w:b/>
          <w:sz w:val="21"/>
          <w:szCs w:val="21"/>
          <w:lang w:val="en-US"/>
        </w:rPr>
        <w:t>entitlements?</w:t>
      </w:r>
    </w:p>
    <w:p w:rsidR="00F850DA" w:rsidRPr="00F850DA" w:rsidRDefault="00E80974" w:rsidP="00E80974">
      <w:pPr>
        <w:spacing w:line="240" w:lineRule="auto"/>
        <w:jc w:val="both"/>
        <w:rPr>
          <w:rFonts w:ascii="Arial" w:hAnsi="Arial" w:cs="Arial"/>
          <w:sz w:val="21"/>
          <w:szCs w:val="21"/>
          <w:lang w:val="en-US"/>
        </w:rPr>
      </w:pPr>
      <w:proofErr w:type="gramStart"/>
      <w:r w:rsidRPr="00F850DA">
        <w:rPr>
          <w:rFonts w:ascii="Arial" w:hAnsi="Arial" w:cs="Arial"/>
          <w:b/>
          <w:sz w:val="21"/>
          <w:szCs w:val="21"/>
          <w:lang w:val="en-US"/>
        </w:rPr>
        <w:t>a)</w:t>
      </w:r>
      <w:r w:rsidRPr="00F850DA">
        <w:rPr>
          <w:rFonts w:ascii="Arial" w:hAnsi="Arial" w:cs="Arial"/>
          <w:sz w:val="21"/>
          <w:szCs w:val="21"/>
          <w:lang w:val="en-US"/>
        </w:rPr>
        <w:t xml:space="preserve"> </w:t>
      </w:r>
      <w:r w:rsidR="00825A27" w:rsidRPr="00F850DA">
        <w:rPr>
          <w:rFonts w:ascii="Arial" w:hAnsi="Arial" w:cs="Arial"/>
          <w:sz w:val="21"/>
          <w:szCs w:val="21"/>
          <w:lang w:val="en-US"/>
        </w:rPr>
        <w:t>The National Human Rights Commission provides information and legal guidance services, by telephone and by electronic means; talks, courses, workshops, conferences and training or updating activities for public servants and members of organizations from the social and private sectors on issues of human rights of the elderly; elaborates and distributes dissemination materials about them</w:t>
      </w:r>
      <w:r w:rsidR="00F850DA" w:rsidRPr="00F850DA">
        <w:rPr>
          <w:rFonts w:ascii="Arial" w:hAnsi="Arial" w:cs="Arial"/>
          <w:sz w:val="21"/>
          <w:szCs w:val="21"/>
          <w:lang w:val="en-US"/>
        </w:rPr>
        <w:t>.</w:t>
      </w:r>
      <w:proofErr w:type="gramEnd"/>
    </w:p>
    <w:p w:rsidR="00E80974" w:rsidRPr="00F850DA" w:rsidRDefault="00E80974" w:rsidP="00E80974">
      <w:pPr>
        <w:spacing w:line="240" w:lineRule="auto"/>
        <w:jc w:val="both"/>
        <w:rPr>
          <w:rFonts w:ascii="Arial" w:hAnsi="Arial" w:cs="Arial"/>
          <w:sz w:val="21"/>
          <w:szCs w:val="21"/>
          <w:lang w:val="en-US"/>
        </w:rPr>
      </w:pPr>
      <w:r w:rsidRPr="00F850DA">
        <w:rPr>
          <w:rFonts w:ascii="Arial" w:hAnsi="Arial" w:cs="Arial"/>
          <w:b/>
          <w:sz w:val="21"/>
          <w:szCs w:val="21"/>
          <w:lang w:val="en-US"/>
        </w:rPr>
        <w:t>b)</w:t>
      </w:r>
      <w:r w:rsidRPr="00F850DA">
        <w:rPr>
          <w:rFonts w:ascii="Arial" w:hAnsi="Arial" w:cs="Arial"/>
          <w:sz w:val="21"/>
          <w:szCs w:val="21"/>
          <w:lang w:val="en-US"/>
        </w:rPr>
        <w:t xml:space="preserve"> </w:t>
      </w:r>
      <w:r w:rsidR="00F850DA" w:rsidRPr="00F850DA">
        <w:rPr>
          <w:rFonts w:ascii="Arial" w:hAnsi="Arial" w:cs="Arial"/>
          <w:sz w:val="21"/>
          <w:szCs w:val="21"/>
          <w:lang w:val="en-US"/>
        </w:rPr>
        <w:t>Since 2013, the National Commission for Retirement Savings Systems has implemented dissemination campaigns with the objective that the population understands the pension system.</w:t>
      </w:r>
      <w:r w:rsidRPr="004C757E">
        <w:rPr>
          <w:rStyle w:val="Refdenotaalfinal"/>
          <w:rFonts w:ascii="Arial" w:hAnsi="Arial" w:cs="Arial"/>
          <w:sz w:val="21"/>
          <w:szCs w:val="21"/>
        </w:rPr>
        <w:endnoteReference w:id="24"/>
      </w:r>
      <w:r w:rsidRPr="00F850DA">
        <w:rPr>
          <w:rFonts w:ascii="Arial" w:hAnsi="Arial" w:cs="Arial"/>
          <w:sz w:val="21"/>
          <w:szCs w:val="21"/>
          <w:lang w:val="en-US"/>
        </w:rPr>
        <w:t xml:space="preserve"> </w:t>
      </w:r>
    </w:p>
    <w:p w:rsidR="00E80974" w:rsidRPr="00C87BC5" w:rsidRDefault="00F850DA" w:rsidP="00E80974">
      <w:pPr>
        <w:pStyle w:val="Prrafodelista"/>
        <w:numPr>
          <w:ilvl w:val="0"/>
          <w:numId w:val="2"/>
        </w:numPr>
        <w:spacing w:line="240" w:lineRule="auto"/>
        <w:jc w:val="both"/>
        <w:rPr>
          <w:rFonts w:ascii="Arial" w:hAnsi="Arial" w:cs="Arial"/>
          <w:b/>
          <w:sz w:val="21"/>
          <w:szCs w:val="21"/>
          <w:lang w:val="en-US"/>
        </w:rPr>
      </w:pPr>
      <w:r>
        <w:rPr>
          <w:rFonts w:ascii="Arial" w:hAnsi="Arial" w:cs="Arial"/>
          <w:b/>
          <w:sz w:val="21"/>
          <w:szCs w:val="21"/>
          <w:lang w:val="en-US"/>
        </w:rPr>
        <w:lastRenderedPageBreak/>
        <w:t xml:space="preserve">The design and implementation of normative and political framework related to social security and social protection benefits included an effective and meaningful participation of older persons? </w:t>
      </w:r>
    </w:p>
    <w:p w:rsidR="00E80974" w:rsidRPr="00F850DA" w:rsidRDefault="00F850DA" w:rsidP="00E80974">
      <w:pPr>
        <w:spacing w:line="240" w:lineRule="auto"/>
        <w:jc w:val="both"/>
        <w:rPr>
          <w:rFonts w:ascii="Arial" w:hAnsi="Arial" w:cs="Arial"/>
          <w:sz w:val="21"/>
          <w:szCs w:val="21"/>
          <w:lang w:val="en-US"/>
        </w:rPr>
      </w:pPr>
      <w:proofErr w:type="gramStart"/>
      <w:r w:rsidRPr="00F850DA">
        <w:rPr>
          <w:rFonts w:ascii="Arial" w:hAnsi="Arial" w:cs="Arial"/>
          <w:sz w:val="21"/>
          <w:szCs w:val="21"/>
          <w:lang w:val="en-US"/>
        </w:rPr>
        <w:t>The Law on the Rights of Older Persons (</w:t>
      </w:r>
      <w:r w:rsidR="00E80974" w:rsidRPr="00F850DA">
        <w:rPr>
          <w:rFonts w:ascii="Arial" w:hAnsi="Arial" w:cs="Arial"/>
          <w:sz w:val="21"/>
          <w:szCs w:val="21"/>
          <w:lang w:val="en-US"/>
        </w:rPr>
        <w:t>LDPAM</w:t>
      </w:r>
      <w:r w:rsidRPr="00F850DA">
        <w:rPr>
          <w:rFonts w:ascii="Arial" w:hAnsi="Arial" w:cs="Arial"/>
          <w:sz w:val="21"/>
          <w:szCs w:val="21"/>
          <w:lang w:val="en-US"/>
        </w:rPr>
        <w:t>)</w:t>
      </w:r>
      <w:r w:rsidR="00E80974" w:rsidRPr="00F850DA">
        <w:rPr>
          <w:rFonts w:ascii="Arial" w:hAnsi="Arial" w:cs="Arial"/>
          <w:sz w:val="21"/>
          <w:szCs w:val="21"/>
          <w:lang w:val="en-US"/>
        </w:rPr>
        <w:t xml:space="preserve"> </w:t>
      </w:r>
      <w:r w:rsidRPr="00F850DA">
        <w:rPr>
          <w:rFonts w:ascii="Arial" w:hAnsi="Arial" w:cs="Arial"/>
          <w:sz w:val="21"/>
          <w:szCs w:val="21"/>
          <w:lang w:val="en-US"/>
        </w:rPr>
        <w:t>establishes participation as a guiding principle and a right (article 4, fraction II and article 5, section VII), which implies the insertion of the elderly in every area of public life; be consulted and taken into account in all areas of interest; associate and form organizations, participate in productive processes, education and training; Integrate in the cultural and recreational life of your community, and be part of the representation and citizen consultation bodies.</w:t>
      </w:r>
      <w:proofErr w:type="gramEnd"/>
    </w:p>
    <w:p w:rsidR="00E80974" w:rsidRPr="004C757E" w:rsidRDefault="00C87BC5" w:rsidP="00E80974">
      <w:pPr>
        <w:spacing w:line="240" w:lineRule="auto"/>
        <w:jc w:val="both"/>
        <w:rPr>
          <w:rFonts w:ascii="Arial" w:hAnsi="Arial" w:cs="Arial"/>
          <w:b/>
          <w:sz w:val="21"/>
          <w:szCs w:val="21"/>
        </w:rPr>
      </w:pPr>
      <w:proofErr w:type="spellStart"/>
      <w:r>
        <w:rPr>
          <w:rFonts w:ascii="Arial" w:hAnsi="Arial" w:cs="Arial"/>
          <w:b/>
          <w:sz w:val="21"/>
          <w:szCs w:val="21"/>
        </w:rPr>
        <w:t>Equality</w:t>
      </w:r>
      <w:proofErr w:type="spellEnd"/>
      <w:r>
        <w:rPr>
          <w:rFonts w:ascii="Arial" w:hAnsi="Arial" w:cs="Arial"/>
          <w:b/>
          <w:sz w:val="21"/>
          <w:szCs w:val="21"/>
        </w:rPr>
        <w:t xml:space="preserve"> and non-</w:t>
      </w:r>
      <w:proofErr w:type="spellStart"/>
      <w:r>
        <w:rPr>
          <w:rFonts w:ascii="Arial" w:hAnsi="Arial" w:cs="Arial"/>
          <w:b/>
          <w:sz w:val="21"/>
          <w:szCs w:val="21"/>
        </w:rPr>
        <w:t>discrimination</w:t>
      </w:r>
      <w:proofErr w:type="spellEnd"/>
    </w:p>
    <w:p w:rsidR="00E80974" w:rsidRPr="00C87BC5" w:rsidRDefault="00C87BC5" w:rsidP="00E80974">
      <w:pPr>
        <w:pStyle w:val="Prrafodelista"/>
        <w:numPr>
          <w:ilvl w:val="0"/>
          <w:numId w:val="2"/>
        </w:numPr>
        <w:spacing w:line="240" w:lineRule="auto"/>
        <w:jc w:val="both"/>
        <w:rPr>
          <w:rFonts w:ascii="Arial" w:hAnsi="Arial" w:cs="Arial"/>
          <w:b/>
          <w:sz w:val="21"/>
          <w:szCs w:val="21"/>
          <w:lang w:val="en-US"/>
        </w:rPr>
      </w:pPr>
      <w:r w:rsidRPr="00C87BC5">
        <w:rPr>
          <w:rFonts w:ascii="Arial" w:hAnsi="Arial" w:cs="Arial"/>
          <w:b/>
          <w:sz w:val="21"/>
          <w:szCs w:val="21"/>
          <w:lang w:val="en-US"/>
        </w:rPr>
        <w:t>Which are the measures adopted to ensure equitable Access by older persons to social security and social protection, paying special attention to vulnerable groups or those in vulnerable situation?</w:t>
      </w:r>
    </w:p>
    <w:p w:rsidR="00E80974" w:rsidRPr="00C87BC5" w:rsidRDefault="00E80974" w:rsidP="00E80974">
      <w:pPr>
        <w:spacing w:line="240" w:lineRule="auto"/>
        <w:ind w:left="360"/>
        <w:jc w:val="both"/>
        <w:rPr>
          <w:rFonts w:ascii="Arial" w:hAnsi="Arial" w:cs="Arial"/>
          <w:sz w:val="21"/>
          <w:szCs w:val="21"/>
          <w:lang w:val="en-US"/>
        </w:rPr>
      </w:pPr>
      <w:r w:rsidRPr="00C87BC5">
        <w:rPr>
          <w:rFonts w:ascii="Arial" w:hAnsi="Arial" w:cs="Arial"/>
          <w:b/>
          <w:sz w:val="21"/>
          <w:szCs w:val="21"/>
          <w:lang w:val="en-US"/>
        </w:rPr>
        <w:t>a)</w:t>
      </w:r>
      <w:r w:rsidRPr="00C87BC5">
        <w:rPr>
          <w:rFonts w:ascii="Arial" w:hAnsi="Arial" w:cs="Arial"/>
          <w:sz w:val="21"/>
          <w:szCs w:val="21"/>
          <w:lang w:val="en-US"/>
        </w:rPr>
        <w:t xml:space="preserve"> </w:t>
      </w:r>
      <w:r w:rsidR="00C87BC5" w:rsidRPr="00C87BC5">
        <w:rPr>
          <w:rFonts w:ascii="Arial" w:hAnsi="Arial" w:cs="Arial"/>
          <w:sz w:val="21"/>
          <w:szCs w:val="21"/>
          <w:lang w:val="en-US"/>
        </w:rPr>
        <w:t>Recognition of social security rights for same-sex marriages. Amendments to the Law of the IMSS and ISSSTE to grant social security benefits to the members</w:t>
      </w:r>
      <w:r w:rsidRPr="00C87BC5">
        <w:rPr>
          <w:rFonts w:ascii="Arial" w:hAnsi="Arial" w:cs="Arial"/>
          <w:sz w:val="21"/>
          <w:szCs w:val="21"/>
          <w:lang w:val="en-US"/>
        </w:rPr>
        <w:t>.</w:t>
      </w:r>
      <w:r w:rsidRPr="004C757E">
        <w:rPr>
          <w:rStyle w:val="Refdenotaalfinal"/>
          <w:rFonts w:ascii="Arial" w:hAnsi="Arial" w:cs="Arial"/>
          <w:sz w:val="21"/>
          <w:szCs w:val="21"/>
        </w:rPr>
        <w:endnoteReference w:id="25"/>
      </w:r>
    </w:p>
    <w:p w:rsidR="00E80974" w:rsidRPr="004C757E" w:rsidRDefault="00C87BC5" w:rsidP="00E80974">
      <w:pPr>
        <w:spacing w:line="240" w:lineRule="auto"/>
        <w:jc w:val="both"/>
        <w:rPr>
          <w:rFonts w:ascii="Arial" w:hAnsi="Arial" w:cs="Arial"/>
          <w:b/>
          <w:sz w:val="21"/>
          <w:szCs w:val="21"/>
        </w:rPr>
      </w:pPr>
      <w:proofErr w:type="spellStart"/>
      <w:r>
        <w:rPr>
          <w:rFonts w:ascii="Arial" w:hAnsi="Arial" w:cs="Arial"/>
          <w:b/>
          <w:sz w:val="21"/>
          <w:szCs w:val="21"/>
        </w:rPr>
        <w:t>Accountability</w:t>
      </w:r>
      <w:proofErr w:type="spellEnd"/>
    </w:p>
    <w:p w:rsidR="00C87BC5" w:rsidRPr="00C87BC5" w:rsidRDefault="00C87BC5" w:rsidP="005C726D">
      <w:pPr>
        <w:pStyle w:val="Prrafodelista"/>
        <w:numPr>
          <w:ilvl w:val="0"/>
          <w:numId w:val="2"/>
        </w:numPr>
        <w:spacing w:line="240" w:lineRule="auto"/>
        <w:jc w:val="both"/>
        <w:rPr>
          <w:rFonts w:ascii="Arial" w:hAnsi="Arial" w:cs="Arial"/>
          <w:sz w:val="21"/>
          <w:szCs w:val="21"/>
        </w:rPr>
      </w:pPr>
      <w:r w:rsidRPr="00C87BC5">
        <w:rPr>
          <w:rFonts w:ascii="Arial" w:hAnsi="Arial" w:cs="Arial"/>
          <w:b/>
          <w:sz w:val="21"/>
          <w:szCs w:val="21"/>
          <w:lang w:val="en-US"/>
        </w:rPr>
        <w:t xml:space="preserve">What mechanisms are in place to ensure social security and social protection schemes are effective and accountable? </w:t>
      </w:r>
    </w:p>
    <w:p w:rsidR="00C87BC5" w:rsidRPr="00C87BC5" w:rsidRDefault="00C87BC5" w:rsidP="00C87BC5">
      <w:pPr>
        <w:pStyle w:val="Prrafodelista"/>
        <w:spacing w:line="240" w:lineRule="auto"/>
        <w:jc w:val="both"/>
        <w:rPr>
          <w:rFonts w:ascii="Arial" w:hAnsi="Arial" w:cs="Arial"/>
          <w:sz w:val="21"/>
          <w:szCs w:val="21"/>
        </w:rPr>
      </w:pPr>
    </w:p>
    <w:p w:rsidR="00E80974" w:rsidRPr="00906ABF" w:rsidRDefault="00C87BC5" w:rsidP="00C87BC5">
      <w:pPr>
        <w:pStyle w:val="Prrafodelista"/>
        <w:numPr>
          <w:ilvl w:val="0"/>
          <w:numId w:val="5"/>
        </w:numPr>
        <w:spacing w:line="240" w:lineRule="auto"/>
        <w:jc w:val="both"/>
        <w:rPr>
          <w:rFonts w:ascii="Arial" w:hAnsi="Arial" w:cs="Arial"/>
          <w:sz w:val="21"/>
          <w:szCs w:val="21"/>
          <w:lang w:val="en-US"/>
        </w:rPr>
      </w:pPr>
      <w:r w:rsidRPr="00906ABF">
        <w:rPr>
          <w:rFonts w:ascii="Arial" w:hAnsi="Arial" w:cs="Arial"/>
          <w:sz w:val="21"/>
          <w:szCs w:val="21"/>
          <w:lang w:val="en-US"/>
        </w:rPr>
        <w:t>Evaluation of Social Policy by the National Council for the Evaluation of Social Policy (CONEVAL)</w:t>
      </w:r>
      <w:r w:rsidR="00E80974" w:rsidRPr="00906ABF">
        <w:rPr>
          <w:rFonts w:ascii="Arial" w:hAnsi="Arial" w:cs="Arial"/>
          <w:sz w:val="21"/>
          <w:szCs w:val="21"/>
          <w:lang w:val="en-US"/>
        </w:rPr>
        <w:t>.</w:t>
      </w:r>
      <w:r w:rsidR="00E80974" w:rsidRPr="004C757E">
        <w:rPr>
          <w:rStyle w:val="Refdenotaalfinal"/>
          <w:rFonts w:ascii="Arial" w:hAnsi="Arial" w:cs="Arial"/>
          <w:sz w:val="21"/>
          <w:szCs w:val="21"/>
        </w:rPr>
        <w:endnoteReference w:id="26"/>
      </w:r>
    </w:p>
    <w:p w:rsidR="00E80974" w:rsidRPr="00906ABF" w:rsidRDefault="00E80974" w:rsidP="00E80974">
      <w:pPr>
        <w:spacing w:line="240" w:lineRule="auto"/>
        <w:jc w:val="both"/>
        <w:rPr>
          <w:rFonts w:ascii="Arial" w:hAnsi="Arial" w:cs="Arial"/>
          <w:sz w:val="21"/>
          <w:szCs w:val="21"/>
          <w:lang w:val="en-US"/>
        </w:rPr>
      </w:pPr>
      <w:r w:rsidRPr="00906ABF">
        <w:rPr>
          <w:rFonts w:ascii="Arial" w:hAnsi="Arial" w:cs="Arial"/>
          <w:b/>
          <w:sz w:val="21"/>
          <w:szCs w:val="21"/>
          <w:lang w:val="en-US"/>
        </w:rPr>
        <w:t>b)</w:t>
      </w:r>
      <w:r w:rsidRPr="00906ABF">
        <w:rPr>
          <w:rFonts w:ascii="Arial" w:hAnsi="Arial" w:cs="Arial"/>
          <w:sz w:val="21"/>
          <w:szCs w:val="21"/>
          <w:lang w:val="en-US"/>
        </w:rPr>
        <w:t xml:space="preserve"> </w:t>
      </w:r>
      <w:r w:rsidR="00906ABF" w:rsidRPr="00906ABF">
        <w:rPr>
          <w:rFonts w:ascii="Arial" w:hAnsi="Arial" w:cs="Arial"/>
          <w:sz w:val="21"/>
          <w:szCs w:val="21"/>
          <w:lang w:val="en-US"/>
        </w:rPr>
        <w:t>Design and results evaluations by the Superior Audit of the Federation.</w:t>
      </w:r>
    </w:p>
    <w:p w:rsidR="00E80974" w:rsidRPr="00906ABF" w:rsidRDefault="00E80974" w:rsidP="00E80974">
      <w:pPr>
        <w:spacing w:line="240" w:lineRule="auto"/>
        <w:jc w:val="both"/>
        <w:rPr>
          <w:rFonts w:ascii="Arial" w:hAnsi="Arial" w:cs="Arial"/>
          <w:sz w:val="21"/>
          <w:szCs w:val="21"/>
          <w:lang w:val="en-US"/>
        </w:rPr>
      </w:pPr>
      <w:r w:rsidRPr="00906ABF">
        <w:rPr>
          <w:rFonts w:ascii="Arial" w:hAnsi="Arial" w:cs="Arial"/>
          <w:b/>
          <w:sz w:val="21"/>
          <w:szCs w:val="21"/>
          <w:lang w:val="en-US"/>
        </w:rPr>
        <w:t>c)</w:t>
      </w:r>
      <w:r w:rsidRPr="00906ABF">
        <w:rPr>
          <w:rFonts w:ascii="Arial" w:hAnsi="Arial" w:cs="Arial"/>
          <w:sz w:val="21"/>
          <w:szCs w:val="21"/>
          <w:lang w:val="en-US"/>
        </w:rPr>
        <w:t xml:space="preserve"> </w:t>
      </w:r>
      <w:r w:rsidR="00906ABF" w:rsidRPr="00906ABF">
        <w:rPr>
          <w:rFonts w:ascii="Arial" w:hAnsi="Arial" w:cs="Arial"/>
          <w:sz w:val="21"/>
          <w:szCs w:val="21"/>
          <w:lang w:val="en-US"/>
        </w:rPr>
        <w:t>Studies and reports prepared by Public Human Rights Organizations</w:t>
      </w:r>
      <w:r w:rsidRPr="00906ABF">
        <w:rPr>
          <w:rFonts w:ascii="Arial" w:hAnsi="Arial" w:cs="Arial"/>
          <w:sz w:val="21"/>
          <w:szCs w:val="21"/>
          <w:lang w:val="en-US"/>
        </w:rPr>
        <w:t>.</w:t>
      </w:r>
      <w:r w:rsidRPr="004C757E">
        <w:rPr>
          <w:rStyle w:val="Refdenotaalfinal"/>
          <w:rFonts w:ascii="Arial" w:hAnsi="Arial" w:cs="Arial"/>
          <w:sz w:val="21"/>
          <w:szCs w:val="21"/>
        </w:rPr>
        <w:endnoteReference w:id="27"/>
      </w:r>
    </w:p>
    <w:p w:rsidR="00E80974" w:rsidRPr="00906ABF" w:rsidRDefault="00E80974" w:rsidP="00E80974">
      <w:pPr>
        <w:spacing w:line="240" w:lineRule="auto"/>
        <w:jc w:val="both"/>
        <w:rPr>
          <w:rFonts w:ascii="Arial" w:hAnsi="Arial" w:cs="Arial"/>
          <w:sz w:val="21"/>
          <w:szCs w:val="21"/>
          <w:lang w:val="en-US"/>
        </w:rPr>
      </w:pPr>
      <w:r w:rsidRPr="00906ABF">
        <w:rPr>
          <w:rFonts w:ascii="Arial" w:hAnsi="Arial" w:cs="Arial"/>
          <w:b/>
          <w:sz w:val="21"/>
          <w:szCs w:val="21"/>
          <w:lang w:val="en-US"/>
        </w:rPr>
        <w:t>d)</w:t>
      </w:r>
      <w:r w:rsidRPr="00906ABF">
        <w:rPr>
          <w:rFonts w:ascii="Arial" w:hAnsi="Arial" w:cs="Arial"/>
          <w:sz w:val="21"/>
          <w:szCs w:val="21"/>
          <w:lang w:val="en-US"/>
        </w:rPr>
        <w:t xml:space="preserve"> </w:t>
      </w:r>
      <w:r w:rsidR="00906ABF" w:rsidRPr="00906ABF">
        <w:rPr>
          <w:rFonts w:ascii="Arial" w:hAnsi="Arial" w:cs="Arial"/>
          <w:sz w:val="21"/>
          <w:szCs w:val="21"/>
          <w:lang w:val="en-US"/>
        </w:rPr>
        <w:t xml:space="preserve">Reports from international organizations and civil society </w:t>
      </w:r>
      <w:proofErr w:type="gramStart"/>
      <w:r w:rsidR="00906ABF" w:rsidRPr="00906ABF">
        <w:rPr>
          <w:rFonts w:ascii="Arial" w:hAnsi="Arial" w:cs="Arial"/>
          <w:sz w:val="21"/>
          <w:szCs w:val="21"/>
          <w:lang w:val="en-US"/>
        </w:rPr>
        <w:t xml:space="preserve">organizations </w:t>
      </w:r>
      <w:r w:rsidRPr="00906ABF">
        <w:rPr>
          <w:rFonts w:ascii="Arial" w:hAnsi="Arial" w:cs="Arial"/>
          <w:sz w:val="21"/>
          <w:szCs w:val="21"/>
          <w:lang w:val="en-US"/>
        </w:rPr>
        <w:t>.</w:t>
      </w:r>
      <w:proofErr w:type="gramEnd"/>
      <w:r w:rsidRPr="004C757E">
        <w:rPr>
          <w:rStyle w:val="Refdenotaalfinal"/>
          <w:rFonts w:ascii="Arial" w:hAnsi="Arial" w:cs="Arial"/>
          <w:sz w:val="21"/>
          <w:szCs w:val="21"/>
        </w:rPr>
        <w:endnoteReference w:id="28"/>
      </w:r>
    </w:p>
    <w:p w:rsidR="00906ABF" w:rsidRPr="00906ABF" w:rsidRDefault="00906ABF" w:rsidP="00E80974">
      <w:pPr>
        <w:spacing w:line="240" w:lineRule="auto"/>
        <w:jc w:val="both"/>
        <w:rPr>
          <w:rFonts w:ascii="Arial" w:hAnsi="Arial" w:cs="Arial"/>
          <w:sz w:val="21"/>
          <w:szCs w:val="21"/>
          <w:lang w:val="en-US"/>
        </w:rPr>
      </w:pPr>
    </w:p>
    <w:p w:rsidR="00906ABF" w:rsidRPr="00906ABF" w:rsidRDefault="00906ABF" w:rsidP="00FD0256">
      <w:pPr>
        <w:pStyle w:val="Prrafodelista"/>
        <w:numPr>
          <w:ilvl w:val="0"/>
          <w:numId w:val="2"/>
        </w:numPr>
        <w:spacing w:line="240" w:lineRule="auto"/>
        <w:jc w:val="both"/>
        <w:rPr>
          <w:rFonts w:ascii="Arial" w:hAnsi="Arial" w:cs="Arial"/>
          <w:sz w:val="21"/>
          <w:szCs w:val="21"/>
        </w:rPr>
      </w:pPr>
      <w:r w:rsidRPr="00906ABF">
        <w:rPr>
          <w:rFonts w:ascii="Arial" w:hAnsi="Arial" w:cs="Arial"/>
          <w:b/>
          <w:sz w:val="21"/>
          <w:szCs w:val="21"/>
          <w:lang w:val="en-US"/>
        </w:rPr>
        <w:t xml:space="preserve">What judicial and non-judicial mechanisms are in place for older persons to complain and seek redress for denial of their right to social security and social protection? </w:t>
      </w:r>
    </w:p>
    <w:p w:rsidR="00906ABF" w:rsidRPr="00906ABF" w:rsidRDefault="00906ABF" w:rsidP="00906ABF">
      <w:pPr>
        <w:pStyle w:val="Prrafodelista"/>
        <w:spacing w:line="240" w:lineRule="auto"/>
        <w:jc w:val="both"/>
        <w:rPr>
          <w:rFonts w:ascii="Arial" w:hAnsi="Arial" w:cs="Arial"/>
          <w:sz w:val="21"/>
          <w:szCs w:val="21"/>
        </w:rPr>
      </w:pPr>
    </w:p>
    <w:p w:rsidR="00E80974" w:rsidRPr="00906ABF" w:rsidRDefault="00E80974" w:rsidP="00906ABF">
      <w:pPr>
        <w:spacing w:line="240" w:lineRule="auto"/>
        <w:jc w:val="both"/>
        <w:rPr>
          <w:rFonts w:ascii="Arial" w:hAnsi="Arial" w:cs="Arial"/>
          <w:sz w:val="21"/>
          <w:szCs w:val="21"/>
          <w:lang w:val="en-US"/>
        </w:rPr>
      </w:pPr>
      <w:r w:rsidRPr="00906ABF">
        <w:rPr>
          <w:rFonts w:ascii="Arial" w:hAnsi="Arial" w:cs="Arial"/>
          <w:b/>
          <w:sz w:val="21"/>
          <w:szCs w:val="21"/>
          <w:lang w:val="en-US"/>
        </w:rPr>
        <w:t>a)</w:t>
      </w:r>
      <w:r w:rsidRPr="00906ABF">
        <w:rPr>
          <w:rFonts w:ascii="Arial" w:hAnsi="Arial" w:cs="Arial"/>
          <w:sz w:val="21"/>
          <w:szCs w:val="21"/>
          <w:lang w:val="en-US"/>
        </w:rPr>
        <w:t xml:space="preserve"> </w:t>
      </w:r>
      <w:r w:rsidR="00906ABF" w:rsidRPr="00906ABF">
        <w:rPr>
          <w:rFonts w:ascii="Arial" w:hAnsi="Arial" w:cs="Arial"/>
          <w:sz w:val="21"/>
          <w:szCs w:val="21"/>
          <w:lang w:val="en-US"/>
        </w:rPr>
        <w:t xml:space="preserve">Complaint before the internal control body of the authority that incurs in the refusal (General Law of Administrative Responsibilities </w:t>
      </w:r>
      <w:r w:rsidRPr="00906ABF">
        <w:rPr>
          <w:rFonts w:ascii="Arial" w:hAnsi="Arial" w:cs="Arial"/>
          <w:sz w:val="21"/>
          <w:szCs w:val="21"/>
          <w:lang w:val="en-US"/>
        </w:rPr>
        <w:t xml:space="preserve">Art. 2, </w:t>
      </w:r>
      <w:proofErr w:type="spellStart"/>
      <w:r w:rsidRPr="00906ABF">
        <w:rPr>
          <w:rFonts w:ascii="Arial" w:hAnsi="Arial" w:cs="Arial"/>
          <w:sz w:val="21"/>
          <w:szCs w:val="21"/>
          <w:lang w:val="en-US"/>
        </w:rPr>
        <w:t>fracción</w:t>
      </w:r>
      <w:proofErr w:type="spellEnd"/>
      <w:r w:rsidRPr="00906ABF">
        <w:rPr>
          <w:rFonts w:ascii="Arial" w:hAnsi="Arial" w:cs="Arial"/>
          <w:sz w:val="21"/>
          <w:szCs w:val="21"/>
          <w:lang w:val="en-US"/>
        </w:rPr>
        <w:t xml:space="preserve"> II, 3, </w:t>
      </w:r>
      <w:proofErr w:type="spellStart"/>
      <w:r w:rsidRPr="00906ABF">
        <w:rPr>
          <w:rFonts w:ascii="Arial" w:hAnsi="Arial" w:cs="Arial"/>
          <w:sz w:val="21"/>
          <w:szCs w:val="21"/>
          <w:lang w:val="en-US"/>
        </w:rPr>
        <w:t>fracción</w:t>
      </w:r>
      <w:proofErr w:type="spellEnd"/>
      <w:r w:rsidRPr="00906ABF">
        <w:rPr>
          <w:rFonts w:ascii="Arial" w:hAnsi="Arial" w:cs="Arial"/>
          <w:sz w:val="21"/>
          <w:szCs w:val="21"/>
          <w:lang w:val="en-US"/>
        </w:rPr>
        <w:t xml:space="preserve"> XXI, y 75).</w:t>
      </w:r>
    </w:p>
    <w:p w:rsidR="00906ABF" w:rsidRDefault="00E80974" w:rsidP="00E80974">
      <w:pPr>
        <w:spacing w:line="240" w:lineRule="auto"/>
        <w:jc w:val="both"/>
        <w:rPr>
          <w:rFonts w:ascii="Arial" w:hAnsi="Arial" w:cs="Arial"/>
          <w:sz w:val="21"/>
          <w:szCs w:val="21"/>
          <w:lang w:val="en-US"/>
        </w:rPr>
      </w:pPr>
      <w:r w:rsidRPr="00906ABF">
        <w:rPr>
          <w:rFonts w:ascii="Arial" w:hAnsi="Arial" w:cs="Arial"/>
          <w:b/>
          <w:sz w:val="21"/>
          <w:szCs w:val="21"/>
          <w:lang w:val="en-US"/>
        </w:rPr>
        <w:t xml:space="preserve">b) </w:t>
      </w:r>
      <w:r w:rsidR="00906ABF" w:rsidRPr="00906ABF">
        <w:rPr>
          <w:rFonts w:ascii="Arial" w:hAnsi="Arial" w:cs="Arial"/>
          <w:sz w:val="21"/>
          <w:szCs w:val="21"/>
          <w:lang w:val="en-US"/>
        </w:rPr>
        <w:t>Consultations, complaints and complaints before the Specialized Unit of the Retirement Fund Administrators (AFORE) (Art. 50 BIS Protection and Defense Law for the user of Financial Services).</w:t>
      </w:r>
    </w:p>
    <w:p w:rsidR="00E80974" w:rsidRPr="00906ABF" w:rsidRDefault="00E80974" w:rsidP="00E80974">
      <w:pPr>
        <w:spacing w:line="240" w:lineRule="auto"/>
        <w:jc w:val="both"/>
        <w:rPr>
          <w:rFonts w:ascii="Arial" w:hAnsi="Arial" w:cs="Arial"/>
          <w:sz w:val="21"/>
          <w:szCs w:val="21"/>
          <w:lang w:val="en-US"/>
        </w:rPr>
      </w:pPr>
      <w:r w:rsidRPr="00906ABF">
        <w:rPr>
          <w:rFonts w:ascii="Arial" w:hAnsi="Arial" w:cs="Arial"/>
          <w:b/>
          <w:sz w:val="21"/>
          <w:szCs w:val="21"/>
          <w:lang w:val="en-US"/>
        </w:rPr>
        <w:t>c)</w:t>
      </w:r>
      <w:r w:rsidRPr="00906ABF">
        <w:rPr>
          <w:rFonts w:ascii="Arial" w:hAnsi="Arial" w:cs="Arial"/>
          <w:sz w:val="21"/>
          <w:szCs w:val="21"/>
          <w:lang w:val="en-US"/>
        </w:rPr>
        <w:t xml:space="preserve"> </w:t>
      </w:r>
      <w:r w:rsidR="00906ABF" w:rsidRPr="00906ABF">
        <w:rPr>
          <w:rFonts w:ascii="Arial" w:hAnsi="Arial" w:cs="Arial"/>
          <w:sz w:val="21"/>
          <w:szCs w:val="21"/>
          <w:lang w:val="en-US"/>
        </w:rPr>
        <w:t>Procedure of Conciliation and Arbitration before the National Commission of Defense of the Users of Financial Services (Art. 60 to 84 Law of Protection and Defense to the user of Financial Services).</w:t>
      </w:r>
    </w:p>
    <w:p w:rsidR="00906ABF" w:rsidRDefault="00E80974" w:rsidP="00E80974">
      <w:pPr>
        <w:spacing w:line="240" w:lineRule="auto"/>
        <w:jc w:val="both"/>
        <w:rPr>
          <w:rFonts w:ascii="Arial" w:hAnsi="Arial" w:cs="Arial"/>
          <w:sz w:val="21"/>
          <w:szCs w:val="21"/>
        </w:rPr>
      </w:pPr>
      <w:r w:rsidRPr="004C757E">
        <w:rPr>
          <w:rFonts w:ascii="Arial" w:hAnsi="Arial" w:cs="Arial"/>
          <w:b/>
          <w:sz w:val="21"/>
          <w:szCs w:val="21"/>
        </w:rPr>
        <w:t>d)</w:t>
      </w:r>
      <w:r w:rsidRPr="004C757E">
        <w:rPr>
          <w:rFonts w:ascii="Arial" w:hAnsi="Arial" w:cs="Arial"/>
          <w:sz w:val="21"/>
          <w:szCs w:val="21"/>
        </w:rPr>
        <w:t xml:space="preserve"> </w:t>
      </w:r>
      <w:r w:rsidR="00906ABF" w:rsidRPr="00906ABF">
        <w:rPr>
          <w:rFonts w:ascii="Arial" w:hAnsi="Arial" w:cs="Arial"/>
          <w:sz w:val="21"/>
          <w:szCs w:val="21"/>
        </w:rPr>
        <w:t xml:space="preserve">Criminal </w:t>
      </w:r>
      <w:proofErr w:type="spellStart"/>
      <w:r w:rsidR="00906ABF" w:rsidRPr="00906ABF">
        <w:rPr>
          <w:rFonts w:ascii="Arial" w:hAnsi="Arial" w:cs="Arial"/>
          <w:sz w:val="21"/>
          <w:szCs w:val="21"/>
        </w:rPr>
        <w:t>complaint</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for</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the</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commission</w:t>
      </w:r>
      <w:proofErr w:type="spellEnd"/>
      <w:r w:rsidR="00906ABF" w:rsidRPr="00906ABF">
        <w:rPr>
          <w:rFonts w:ascii="Arial" w:hAnsi="Arial" w:cs="Arial"/>
          <w:sz w:val="21"/>
          <w:szCs w:val="21"/>
        </w:rPr>
        <w:t xml:space="preserve"> of </w:t>
      </w:r>
      <w:proofErr w:type="spellStart"/>
      <w:r w:rsidR="00906ABF" w:rsidRPr="00906ABF">
        <w:rPr>
          <w:rFonts w:ascii="Arial" w:hAnsi="Arial" w:cs="Arial"/>
          <w:sz w:val="21"/>
          <w:szCs w:val="21"/>
        </w:rPr>
        <w:t>offenses</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established</w:t>
      </w:r>
      <w:proofErr w:type="spellEnd"/>
      <w:r w:rsidR="00906ABF" w:rsidRPr="00906ABF">
        <w:rPr>
          <w:rFonts w:ascii="Arial" w:hAnsi="Arial" w:cs="Arial"/>
          <w:sz w:val="21"/>
          <w:szCs w:val="21"/>
        </w:rPr>
        <w:t xml:space="preserve"> in </w:t>
      </w:r>
      <w:proofErr w:type="spellStart"/>
      <w:r w:rsidR="00906ABF" w:rsidRPr="00906ABF">
        <w:rPr>
          <w:rFonts w:ascii="Arial" w:hAnsi="Arial" w:cs="Arial"/>
          <w:sz w:val="21"/>
          <w:szCs w:val="21"/>
        </w:rPr>
        <w:t>the</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Retirement</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Savings</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System</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Law</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Articles</w:t>
      </w:r>
      <w:proofErr w:type="spellEnd"/>
      <w:r w:rsidR="00906ABF" w:rsidRPr="00906ABF">
        <w:rPr>
          <w:rFonts w:ascii="Arial" w:hAnsi="Arial" w:cs="Arial"/>
          <w:sz w:val="21"/>
          <w:szCs w:val="21"/>
        </w:rPr>
        <w:t xml:space="preserve"> 103-110).</w:t>
      </w:r>
    </w:p>
    <w:p w:rsidR="00E80974" w:rsidRPr="004C757E" w:rsidRDefault="00E80974" w:rsidP="00E80974">
      <w:pPr>
        <w:spacing w:line="240" w:lineRule="auto"/>
        <w:jc w:val="both"/>
        <w:rPr>
          <w:rFonts w:ascii="Arial" w:hAnsi="Arial" w:cs="Arial"/>
          <w:sz w:val="21"/>
          <w:szCs w:val="21"/>
        </w:rPr>
      </w:pPr>
      <w:r w:rsidRPr="004C757E">
        <w:rPr>
          <w:rFonts w:ascii="Arial" w:hAnsi="Arial" w:cs="Arial"/>
          <w:b/>
          <w:sz w:val="21"/>
          <w:szCs w:val="21"/>
        </w:rPr>
        <w:t xml:space="preserve">e) </w:t>
      </w:r>
      <w:proofErr w:type="spellStart"/>
      <w:r w:rsidR="00906ABF" w:rsidRPr="00906ABF">
        <w:rPr>
          <w:rFonts w:ascii="Arial" w:hAnsi="Arial" w:cs="Arial"/>
          <w:sz w:val="21"/>
          <w:szCs w:val="21"/>
        </w:rPr>
        <w:t>Complaint</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before</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the</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National</w:t>
      </w:r>
      <w:proofErr w:type="spellEnd"/>
      <w:r w:rsidR="00906ABF" w:rsidRPr="00906ABF">
        <w:rPr>
          <w:rFonts w:ascii="Arial" w:hAnsi="Arial" w:cs="Arial"/>
          <w:sz w:val="21"/>
          <w:szCs w:val="21"/>
        </w:rPr>
        <w:t xml:space="preserve"> </w:t>
      </w:r>
      <w:r w:rsidR="00906ABF">
        <w:rPr>
          <w:rFonts w:ascii="Arial" w:hAnsi="Arial" w:cs="Arial"/>
          <w:sz w:val="21"/>
          <w:szCs w:val="21"/>
        </w:rPr>
        <w:t xml:space="preserve">Human </w:t>
      </w:r>
      <w:proofErr w:type="spellStart"/>
      <w:r w:rsidR="00906ABF">
        <w:rPr>
          <w:rFonts w:ascii="Arial" w:hAnsi="Arial" w:cs="Arial"/>
          <w:sz w:val="21"/>
          <w:szCs w:val="21"/>
        </w:rPr>
        <w:t>Rights</w:t>
      </w:r>
      <w:proofErr w:type="spellEnd"/>
      <w:r w:rsidR="00906ABF">
        <w:rPr>
          <w:rFonts w:ascii="Arial" w:hAnsi="Arial" w:cs="Arial"/>
          <w:sz w:val="21"/>
          <w:szCs w:val="21"/>
        </w:rPr>
        <w:t xml:space="preserve"> </w:t>
      </w:r>
      <w:proofErr w:type="spellStart"/>
      <w:r w:rsidR="00906ABF" w:rsidRPr="00906ABF">
        <w:rPr>
          <w:rFonts w:ascii="Arial" w:hAnsi="Arial" w:cs="Arial"/>
          <w:sz w:val="21"/>
          <w:szCs w:val="21"/>
        </w:rPr>
        <w:t>Commission</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Law</w:t>
      </w:r>
      <w:proofErr w:type="spellEnd"/>
      <w:r w:rsidR="00906ABF" w:rsidRPr="00906ABF">
        <w:rPr>
          <w:rFonts w:ascii="Arial" w:hAnsi="Arial" w:cs="Arial"/>
          <w:sz w:val="21"/>
          <w:szCs w:val="21"/>
        </w:rPr>
        <w:t xml:space="preserve"> of </w:t>
      </w:r>
      <w:proofErr w:type="spellStart"/>
      <w:r w:rsidR="00906ABF" w:rsidRPr="00906ABF">
        <w:rPr>
          <w:rFonts w:ascii="Arial" w:hAnsi="Arial" w:cs="Arial"/>
          <w:sz w:val="21"/>
          <w:szCs w:val="21"/>
        </w:rPr>
        <w:t>the</w:t>
      </w:r>
      <w:proofErr w:type="spellEnd"/>
      <w:r w:rsidR="00906ABF" w:rsidRPr="00906ABF">
        <w:rPr>
          <w:rFonts w:ascii="Arial" w:hAnsi="Arial" w:cs="Arial"/>
          <w:sz w:val="21"/>
          <w:szCs w:val="21"/>
        </w:rPr>
        <w:t xml:space="preserve"> </w:t>
      </w:r>
      <w:proofErr w:type="spellStart"/>
      <w:r w:rsidR="00906ABF" w:rsidRPr="00906ABF">
        <w:rPr>
          <w:rFonts w:ascii="Arial" w:hAnsi="Arial" w:cs="Arial"/>
          <w:sz w:val="21"/>
          <w:szCs w:val="21"/>
        </w:rPr>
        <w:t>National</w:t>
      </w:r>
      <w:proofErr w:type="spellEnd"/>
      <w:r w:rsidR="00906ABF" w:rsidRPr="00906ABF">
        <w:rPr>
          <w:rFonts w:ascii="Arial" w:hAnsi="Arial" w:cs="Arial"/>
          <w:sz w:val="21"/>
          <w:szCs w:val="21"/>
        </w:rPr>
        <w:t xml:space="preserve"> </w:t>
      </w:r>
      <w:r w:rsidR="00906ABF">
        <w:rPr>
          <w:rFonts w:ascii="Arial" w:hAnsi="Arial" w:cs="Arial"/>
          <w:sz w:val="21"/>
          <w:szCs w:val="21"/>
        </w:rPr>
        <w:t xml:space="preserve">Human </w:t>
      </w:r>
      <w:proofErr w:type="spellStart"/>
      <w:r w:rsidR="00906ABF">
        <w:rPr>
          <w:rFonts w:ascii="Arial" w:hAnsi="Arial" w:cs="Arial"/>
          <w:sz w:val="21"/>
          <w:szCs w:val="21"/>
        </w:rPr>
        <w:t>Rights</w:t>
      </w:r>
      <w:proofErr w:type="spellEnd"/>
      <w:r w:rsidR="00906ABF">
        <w:rPr>
          <w:rFonts w:ascii="Arial" w:hAnsi="Arial" w:cs="Arial"/>
          <w:sz w:val="21"/>
          <w:szCs w:val="21"/>
        </w:rPr>
        <w:t xml:space="preserve"> </w:t>
      </w:r>
      <w:proofErr w:type="spellStart"/>
      <w:r w:rsidR="00906ABF" w:rsidRPr="00906ABF">
        <w:rPr>
          <w:rFonts w:ascii="Arial" w:hAnsi="Arial" w:cs="Arial"/>
          <w:sz w:val="21"/>
          <w:szCs w:val="21"/>
        </w:rPr>
        <w:t>Commission</w:t>
      </w:r>
      <w:proofErr w:type="spellEnd"/>
      <w:r w:rsidR="00906ABF" w:rsidRPr="00906ABF">
        <w:rPr>
          <w:rFonts w:ascii="Arial" w:hAnsi="Arial" w:cs="Arial"/>
          <w:sz w:val="21"/>
          <w:szCs w:val="21"/>
        </w:rPr>
        <w:t xml:space="preserve"> Art. 3º).</w:t>
      </w:r>
    </w:p>
    <w:p w:rsidR="00E80974" w:rsidRPr="0089093B" w:rsidRDefault="00E80974" w:rsidP="00E80974">
      <w:pPr>
        <w:spacing w:line="240" w:lineRule="auto"/>
        <w:jc w:val="both"/>
        <w:rPr>
          <w:rFonts w:ascii="Arial" w:hAnsi="Arial" w:cs="Arial"/>
          <w:sz w:val="21"/>
          <w:szCs w:val="21"/>
          <w:lang w:val="en-US"/>
        </w:rPr>
      </w:pPr>
      <w:r w:rsidRPr="0089093B">
        <w:rPr>
          <w:rFonts w:ascii="Arial" w:hAnsi="Arial" w:cs="Arial"/>
          <w:b/>
          <w:sz w:val="21"/>
          <w:szCs w:val="21"/>
          <w:lang w:val="en-US"/>
        </w:rPr>
        <w:t xml:space="preserve">f) </w:t>
      </w:r>
      <w:r w:rsidR="0089093B" w:rsidRPr="0089093B">
        <w:rPr>
          <w:rFonts w:ascii="Arial" w:hAnsi="Arial" w:cs="Arial"/>
          <w:sz w:val="21"/>
          <w:szCs w:val="21"/>
          <w:lang w:val="en-US"/>
        </w:rPr>
        <w:t>Trial before Labor Courts</w:t>
      </w:r>
      <w:r w:rsidR="0089093B" w:rsidRPr="0089093B">
        <w:rPr>
          <w:rFonts w:ascii="Arial" w:hAnsi="Arial" w:cs="Arial"/>
          <w:b/>
          <w:sz w:val="21"/>
          <w:szCs w:val="21"/>
          <w:lang w:val="en-US"/>
        </w:rPr>
        <w:t xml:space="preserve"> </w:t>
      </w:r>
      <w:r w:rsidRPr="004C757E">
        <w:rPr>
          <w:rStyle w:val="Refdenotaalfinal"/>
          <w:rFonts w:ascii="Arial" w:hAnsi="Arial" w:cs="Arial"/>
          <w:sz w:val="21"/>
          <w:szCs w:val="21"/>
        </w:rPr>
        <w:endnoteReference w:id="29"/>
      </w:r>
      <w:r w:rsidRPr="0089093B">
        <w:rPr>
          <w:rFonts w:ascii="Arial" w:hAnsi="Arial" w:cs="Arial"/>
          <w:sz w:val="21"/>
          <w:szCs w:val="21"/>
          <w:lang w:val="en-US"/>
        </w:rPr>
        <w:t xml:space="preserve"> </w:t>
      </w:r>
      <w:r w:rsidR="0089093B" w:rsidRPr="0089093B">
        <w:rPr>
          <w:rFonts w:ascii="Arial" w:hAnsi="Arial" w:cs="Arial"/>
          <w:sz w:val="21"/>
          <w:szCs w:val="21"/>
          <w:lang w:val="en-US"/>
        </w:rPr>
        <w:t>and/</w:t>
      </w:r>
      <w:proofErr w:type="gramStart"/>
      <w:r w:rsidR="0089093B" w:rsidRPr="0089093B">
        <w:rPr>
          <w:rFonts w:ascii="Arial" w:hAnsi="Arial" w:cs="Arial"/>
          <w:sz w:val="21"/>
          <w:szCs w:val="21"/>
          <w:lang w:val="en-US"/>
        </w:rPr>
        <w:t xml:space="preserve">or </w:t>
      </w:r>
      <w:r w:rsidRPr="0089093B">
        <w:rPr>
          <w:rFonts w:ascii="Arial" w:hAnsi="Arial" w:cs="Arial"/>
          <w:sz w:val="21"/>
          <w:szCs w:val="21"/>
          <w:lang w:val="en-US"/>
        </w:rPr>
        <w:t xml:space="preserve"> </w:t>
      </w:r>
      <w:r w:rsidR="0089093B" w:rsidRPr="0089093B">
        <w:rPr>
          <w:rFonts w:ascii="Arial" w:hAnsi="Arial" w:cs="Arial"/>
          <w:sz w:val="21"/>
          <w:szCs w:val="21"/>
          <w:lang w:val="en-US"/>
        </w:rPr>
        <w:t>Trial</w:t>
      </w:r>
      <w:proofErr w:type="gramEnd"/>
      <w:r w:rsidR="0089093B" w:rsidRPr="0089093B">
        <w:rPr>
          <w:rFonts w:ascii="Arial" w:hAnsi="Arial" w:cs="Arial"/>
          <w:sz w:val="21"/>
          <w:szCs w:val="21"/>
          <w:lang w:val="en-US"/>
        </w:rPr>
        <w:t xml:space="preserve"> of </w:t>
      </w:r>
      <w:proofErr w:type="spellStart"/>
      <w:r w:rsidR="0089093B" w:rsidRPr="0089093B">
        <w:rPr>
          <w:rFonts w:ascii="Arial" w:hAnsi="Arial" w:cs="Arial"/>
          <w:sz w:val="21"/>
          <w:szCs w:val="21"/>
          <w:lang w:val="en-US"/>
        </w:rPr>
        <w:t>Amparo</w:t>
      </w:r>
      <w:proofErr w:type="spellEnd"/>
      <w:r w:rsidR="0089093B" w:rsidRPr="0089093B">
        <w:rPr>
          <w:rFonts w:ascii="Arial" w:hAnsi="Arial" w:cs="Arial"/>
          <w:sz w:val="21"/>
          <w:szCs w:val="21"/>
          <w:lang w:val="en-US"/>
        </w:rPr>
        <w:t xml:space="preserve"> (Law of </w:t>
      </w:r>
      <w:proofErr w:type="spellStart"/>
      <w:r w:rsidR="0089093B" w:rsidRPr="0089093B">
        <w:rPr>
          <w:rFonts w:ascii="Arial" w:hAnsi="Arial" w:cs="Arial"/>
          <w:sz w:val="21"/>
          <w:szCs w:val="21"/>
          <w:lang w:val="en-US"/>
        </w:rPr>
        <w:t>Amparo</w:t>
      </w:r>
      <w:proofErr w:type="spellEnd"/>
      <w:r w:rsidR="0089093B" w:rsidRPr="0089093B">
        <w:rPr>
          <w:rFonts w:ascii="Arial" w:hAnsi="Arial" w:cs="Arial"/>
          <w:sz w:val="21"/>
          <w:szCs w:val="21"/>
          <w:lang w:val="en-US"/>
        </w:rPr>
        <w:t xml:space="preserve">, Art. 1, fraction I). </w:t>
      </w:r>
    </w:p>
    <w:p w:rsidR="00E80974" w:rsidRPr="0089093B" w:rsidRDefault="00E80974" w:rsidP="00E80974">
      <w:pPr>
        <w:spacing w:line="240" w:lineRule="auto"/>
        <w:rPr>
          <w:rFonts w:ascii="Arial" w:hAnsi="Arial" w:cs="Arial"/>
          <w:sz w:val="21"/>
          <w:szCs w:val="21"/>
          <w:lang w:val="en-US"/>
        </w:rPr>
      </w:pPr>
    </w:p>
    <w:p w:rsidR="00D42CEE" w:rsidRPr="0089093B" w:rsidRDefault="00D42CEE">
      <w:pPr>
        <w:rPr>
          <w:lang w:val="en-US"/>
        </w:rPr>
      </w:pPr>
    </w:p>
    <w:sectPr w:rsidR="00D42CEE" w:rsidRPr="0089093B" w:rsidSect="00C174ED">
      <w:footerReference w:type="default" r:id="rId8"/>
      <w:pgSz w:w="12240" w:h="15840"/>
      <w:pgMar w:top="1135" w:right="1325"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35" w:rsidRDefault="00746C35" w:rsidP="00E80974">
      <w:pPr>
        <w:spacing w:after="0" w:line="240" w:lineRule="auto"/>
      </w:pPr>
      <w:r>
        <w:separator/>
      </w:r>
    </w:p>
  </w:endnote>
  <w:endnote w:type="continuationSeparator" w:id="0">
    <w:p w:rsidR="00746C35" w:rsidRDefault="00746C35" w:rsidP="00E80974">
      <w:pPr>
        <w:spacing w:after="0" w:line="240" w:lineRule="auto"/>
      </w:pPr>
      <w:r>
        <w:continuationSeparator/>
      </w:r>
    </w:p>
  </w:endnote>
  <w:endnote w:id="1">
    <w:p w:rsidR="007E4602" w:rsidRPr="0089093B" w:rsidRDefault="007E4602">
      <w:pPr>
        <w:pStyle w:val="Textonotaalfinal"/>
        <w:rPr>
          <w:rFonts w:ascii="Arial Narrow" w:hAnsi="Arial Narrow"/>
          <w:sz w:val="18"/>
          <w:szCs w:val="18"/>
        </w:rPr>
      </w:pPr>
      <w:r>
        <w:rPr>
          <w:rStyle w:val="Refdenotaalfinal"/>
        </w:rPr>
        <w:endnoteRef/>
      </w:r>
      <w:r w:rsidRPr="0089093B">
        <w:rPr>
          <w:lang w:val="en-US"/>
        </w:rPr>
        <w:t xml:space="preserve"> </w:t>
      </w:r>
      <w:r w:rsidR="0089093B" w:rsidRPr="0089093B">
        <w:rPr>
          <w:rFonts w:ascii="Arial Narrow" w:hAnsi="Arial Narrow"/>
          <w:sz w:val="18"/>
          <w:szCs w:val="18"/>
          <w:lang w:val="en-US"/>
        </w:rPr>
        <w:t xml:space="preserve">The INEA is a decentralized body of the Federal Public Administration with legal personality and its own patrimony, created by presidential decree published in the Official Gazette of the Federation on August 31, 1981. </w:t>
      </w:r>
      <w:proofErr w:type="gramStart"/>
      <w:r w:rsidR="0089093B" w:rsidRPr="0089093B">
        <w:rPr>
          <w:rFonts w:ascii="Arial Narrow" w:hAnsi="Arial Narrow"/>
          <w:sz w:val="18"/>
          <w:szCs w:val="18"/>
          <w:lang w:val="en-US"/>
        </w:rPr>
        <w:t>It proposes and develops educational models, conducts research on the subject, elaborates and distributes teaching materials, applies systems for the evaluation of adult learning, as well as accredits and certifies basic education for adults and youth of 15 years and over who have not completed or completed such studies in the terms of Article 43 of the General Law of Education</w:t>
      </w:r>
      <w:r w:rsidRPr="0089093B">
        <w:rPr>
          <w:rFonts w:ascii="Arial Narrow" w:hAnsi="Arial Narrow"/>
          <w:sz w:val="18"/>
          <w:szCs w:val="18"/>
          <w:lang w:val="en-US"/>
        </w:rPr>
        <w:t>.</w:t>
      </w:r>
      <w:proofErr w:type="gramEnd"/>
      <w:r w:rsidRPr="0089093B">
        <w:rPr>
          <w:rFonts w:ascii="Arial Narrow" w:hAnsi="Arial Narrow"/>
          <w:sz w:val="18"/>
          <w:szCs w:val="18"/>
          <w:lang w:val="en-US"/>
        </w:rPr>
        <w:t xml:space="preserve"> </w:t>
      </w:r>
      <w:r w:rsidRPr="0089093B">
        <w:rPr>
          <w:rFonts w:ascii="Arial Narrow" w:hAnsi="Arial Narrow"/>
          <w:sz w:val="18"/>
          <w:szCs w:val="18"/>
        </w:rPr>
        <w:t>Fuente https://www.gob.mx/inea/que-hacemos, consultado el 8 de enero de 2019.</w:t>
      </w:r>
    </w:p>
  </w:endnote>
  <w:endnote w:id="2">
    <w:p w:rsidR="007E4602" w:rsidRPr="007E4602" w:rsidRDefault="007E4602" w:rsidP="007E4602">
      <w:pPr>
        <w:pStyle w:val="Textonotaalfinal"/>
      </w:pPr>
      <w:r>
        <w:rPr>
          <w:rStyle w:val="Refdenotaalfinal"/>
        </w:rPr>
        <w:endnoteRef/>
      </w:r>
      <w:r>
        <w:t xml:space="preserve"> </w:t>
      </w:r>
      <w:r w:rsidRPr="007E4602">
        <w:t>http://www.cursosinea.conevyt.org.mx/recursos/promo_mevyt/Con_frames/principal.html</w:t>
      </w:r>
    </w:p>
  </w:endnote>
  <w:endnote w:id="3">
    <w:p w:rsidR="007E4602" w:rsidRDefault="007E4602">
      <w:pPr>
        <w:pStyle w:val="Textonotaalfinal"/>
      </w:pPr>
      <w:r>
        <w:rPr>
          <w:rStyle w:val="Refdenotaalfinal"/>
        </w:rPr>
        <w:endnoteRef/>
      </w:r>
      <w:r>
        <w:t xml:space="preserve"> </w:t>
      </w:r>
      <w:r w:rsidR="00843288" w:rsidRPr="00843288">
        <w:t xml:space="preserve">  https://www.gob.mx/inapam/prensa/desarrollan-inea-e-inapam-modelo-educativo-para-adultos-mayores?idiom=es</w:t>
      </w:r>
    </w:p>
  </w:endnote>
  <w:endnote w:id="4">
    <w:p w:rsidR="00843288" w:rsidRDefault="00843288">
      <w:pPr>
        <w:pStyle w:val="Textonotaalfinal"/>
      </w:pPr>
      <w:r>
        <w:rPr>
          <w:rStyle w:val="Refdenotaalfinal"/>
        </w:rPr>
        <w:endnoteRef/>
      </w:r>
      <w:r>
        <w:t xml:space="preserve"> </w:t>
      </w:r>
      <w:r w:rsidRPr="00843288">
        <w:t xml:space="preserve">  https://www.gob.mx/cms/uploads/attachment/file/147769/Manual_PEC__1_.pdf</w:t>
      </w:r>
    </w:p>
  </w:endnote>
  <w:endnote w:id="5">
    <w:p w:rsidR="00E80974" w:rsidRPr="00DB2110" w:rsidRDefault="00E80974" w:rsidP="00E80974">
      <w:pPr>
        <w:pStyle w:val="Textonotaalfinal"/>
        <w:contextualSpacing/>
        <w:jc w:val="both"/>
        <w:rPr>
          <w:rFonts w:ascii="Arial Narrow" w:hAnsi="Arial Narrow" w:cs="Arial"/>
          <w:sz w:val="18"/>
          <w:szCs w:val="18"/>
        </w:rPr>
      </w:pPr>
      <w:r w:rsidRPr="00DB2110">
        <w:rPr>
          <w:rStyle w:val="Refdenotaalfinal"/>
          <w:rFonts w:ascii="Arial Narrow" w:hAnsi="Arial Narrow" w:cs="Arial"/>
          <w:sz w:val="18"/>
          <w:szCs w:val="18"/>
        </w:rPr>
        <w:endnoteRef/>
      </w:r>
      <w:r w:rsidRPr="00DB2110">
        <w:rPr>
          <w:rFonts w:ascii="Arial Narrow" w:hAnsi="Arial Narrow" w:cs="Arial"/>
          <w:sz w:val="18"/>
          <w:szCs w:val="18"/>
        </w:rPr>
        <w:t xml:space="preserve"> CONEVAL, Medición de la pobreza, Estados Unidos Mexicanos, 2016, Porcentaje, número de personas y carencias promedio por indicador de pobreza en la población de adultos mayores, 2010-2016, Población de 65 años y más.</w:t>
      </w:r>
    </w:p>
  </w:endnote>
  <w:endnote w:id="6">
    <w:p w:rsidR="00E80974" w:rsidRPr="00DB2110" w:rsidRDefault="00E80974" w:rsidP="00E80974">
      <w:pPr>
        <w:spacing w:after="0" w:line="240" w:lineRule="auto"/>
        <w:contextualSpacing/>
        <w:jc w:val="both"/>
        <w:rPr>
          <w:rFonts w:ascii="Arial Narrow" w:hAnsi="Arial Narrow" w:cs="Arial"/>
          <w:sz w:val="18"/>
          <w:szCs w:val="18"/>
        </w:rPr>
      </w:pPr>
      <w:r w:rsidRPr="00DB2110">
        <w:rPr>
          <w:rStyle w:val="Refdenotaalfinal"/>
          <w:rFonts w:ascii="Arial Narrow" w:hAnsi="Arial Narrow" w:cs="Arial"/>
          <w:sz w:val="18"/>
          <w:szCs w:val="18"/>
        </w:rPr>
        <w:endnoteRef/>
      </w:r>
      <w:r w:rsidRPr="00DB2110">
        <w:rPr>
          <w:rFonts w:ascii="Arial Narrow" w:hAnsi="Arial Narrow" w:cs="Arial"/>
          <w:sz w:val="18"/>
          <w:szCs w:val="18"/>
        </w:rPr>
        <w:t xml:space="preserve"> Encuesta Nacional sobre Discriminación 2017.</w:t>
      </w:r>
    </w:p>
  </w:endnote>
  <w:endnote w:id="7">
    <w:p w:rsidR="00E80974" w:rsidRPr="00DB2110" w:rsidRDefault="00E80974" w:rsidP="00E80974">
      <w:pPr>
        <w:pStyle w:val="Textonotaalfinal"/>
        <w:contextualSpacing/>
        <w:jc w:val="both"/>
        <w:rPr>
          <w:rFonts w:ascii="Arial Narrow" w:hAnsi="Arial Narrow" w:cs="Arial"/>
          <w:sz w:val="18"/>
          <w:szCs w:val="18"/>
        </w:rPr>
      </w:pPr>
      <w:r w:rsidRPr="00DB2110">
        <w:rPr>
          <w:rStyle w:val="Refdenotaalfinal"/>
          <w:rFonts w:ascii="Arial Narrow" w:hAnsi="Arial Narrow" w:cs="Arial"/>
          <w:sz w:val="18"/>
          <w:szCs w:val="18"/>
        </w:rPr>
        <w:endnoteRef/>
      </w:r>
      <w:r w:rsidRPr="00DB2110">
        <w:rPr>
          <w:rFonts w:ascii="Arial Narrow" w:hAnsi="Arial Narrow" w:cs="Arial"/>
          <w:sz w:val="18"/>
          <w:szCs w:val="18"/>
        </w:rPr>
        <w:t xml:space="preserve"> INEGI, ENADIS 2017, Tabulados, Cuadros con información sobre población de 60 y más años, </w:t>
      </w:r>
      <w:hyperlink r:id="rId1" w:history="1">
        <w:r w:rsidRPr="00DB2110">
          <w:rPr>
            <w:rStyle w:val="Hipervnculo"/>
            <w:rFonts w:ascii="Arial Narrow" w:hAnsi="Arial Narrow" w:cs="Arial"/>
            <w:sz w:val="18"/>
            <w:szCs w:val="18"/>
          </w:rPr>
          <w:t>http://www.beta.inegi.org.mx/programas/enadis/2017/</w:t>
        </w:r>
      </w:hyperlink>
      <w:r w:rsidRPr="00DB2110">
        <w:rPr>
          <w:rFonts w:ascii="Arial Narrow" w:hAnsi="Arial Narrow" w:cs="Arial"/>
          <w:sz w:val="18"/>
          <w:szCs w:val="18"/>
        </w:rPr>
        <w:t xml:space="preserve"> </w:t>
      </w:r>
    </w:p>
  </w:endnote>
  <w:endnote w:id="8">
    <w:p w:rsidR="00E80974" w:rsidRPr="00C87BFA" w:rsidRDefault="00E80974" w:rsidP="00E80974">
      <w:pPr>
        <w:pStyle w:val="Textonotaalfinal"/>
      </w:pPr>
      <w:r w:rsidRPr="00DB2110">
        <w:rPr>
          <w:rStyle w:val="Refdenotaalfinal"/>
          <w:rFonts w:ascii="Arial Narrow" w:hAnsi="Arial Narrow"/>
          <w:sz w:val="18"/>
          <w:szCs w:val="18"/>
        </w:rPr>
        <w:endnoteRef/>
      </w:r>
      <w:r w:rsidRPr="00DB2110">
        <w:rPr>
          <w:rFonts w:ascii="Arial Narrow" w:hAnsi="Arial Narrow"/>
          <w:sz w:val="18"/>
          <w:szCs w:val="18"/>
        </w:rPr>
        <w:t xml:space="preserve"> INEE, </w:t>
      </w:r>
      <w:r w:rsidRPr="00DB2110">
        <w:rPr>
          <w:rFonts w:ascii="Arial Narrow" w:hAnsi="Arial Narrow"/>
          <w:i/>
          <w:sz w:val="18"/>
          <w:szCs w:val="18"/>
        </w:rPr>
        <w:t xml:space="preserve">Panorama Educativo de México 2017, </w:t>
      </w:r>
      <w:r w:rsidRPr="00DB2110">
        <w:rPr>
          <w:rFonts w:ascii="Arial Narrow" w:hAnsi="Arial Narrow"/>
          <w:sz w:val="18"/>
          <w:szCs w:val="18"/>
        </w:rPr>
        <w:t xml:space="preserve">p. 249, </w:t>
      </w:r>
      <w:hyperlink r:id="rId2" w:history="1">
        <w:r w:rsidRPr="00DB2110">
          <w:rPr>
            <w:rStyle w:val="Hipervnculo"/>
            <w:rFonts w:ascii="Arial Narrow" w:hAnsi="Arial Narrow"/>
            <w:sz w:val="18"/>
            <w:szCs w:val="18"/>
          </w:rPr>
          <w:t>http://publicaciones.inee.edu.mx/buscadorPub/P1/B/116/P1B116.pdf</w:t>
        </w:r>
      </w:hyperlink>
      <w:r>
        <w:t xml:space="preserve"> </w:t>
      </w:r>
    </w:p>
  </w:endnote>
  <w:endnote w:id="9">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89093B">
        <w:rPr>
          <w:rFonts w:ascii="Arial Narrow" w:hAnsi="Arial Narrow"/>
          <w:sz w:val="18"/>
          <w:szCs w:val="18"/>
          <w:lang w:val="en-US"/>
        </w:rPr>
        <w:t xml:space="preserve"> CONEVAL, </w:t>
      </w:r>
      <w:r w:rsidR="0089093B" w:rsidRPr="0089093B">
        <w:rPr>
          <w:rFonts w:ascii="Arial Narrow" w:hAnsi="Arial Narrow"/>
          <w:sz w:val="18"/>
          <w:szCs w:val="18"/>
          <w:lang w:val="en-US"/>
        </w:rPr>
        <w:t xml:space="preserve">Strategic evaluation of social protection in Mexico, second edition, 2018, p. 61. These pensions </w:t>
      </w:r>
      <w:proofErr w:type="gramStart"/>
      <w:r w:rsidR="0089093B" w:rsidRPr="0089093B">
        <w:rPr>
          <w:rFonts w:ascii="Arial Narrow" w:hAnsi="Arial Narrow"/>
          <w:sz w:val="18"/>
          <w:szCs w:val="18"/>
          <w:lang w:val="en-US"/>
        </w:rPr>
        <w:t>are linked</w:t>
      </w:r>
      <w:proofErr w:type="gramEnd"/>
      <w:r w:rsidR="0089093B" w:rsidRPr="0089093B">
        <w:rPr>
          <w:rFonts w:ascii="Arial Narrow" w:hAnsi="Arial Narrow"/>
          <w:sz w:val="18"/>
          <w:szCs w:val="18"/>
          <w:lang w:val="en-US"/>
        </w:rPr>
        <w:t xml:space="preserve"> to an employment relationship and, depending on their type, are financed by tripartite contributions (worker, employer and State) or only by the State (in their capacity as employer). On the other hand, non-contributory pensions are not linked to work, they are financed in their entirety with public expenditure and granted as a social program, whether federal or state</w:t>
      </w:r>
      <w:r w:rsidR="0089093B">
        <w:rPr>
          <w:rFonts w:ascii="Arial Narrow" w:hAnsi="Arial Narrow"/>
          <w:sz w:val="18"/>
          <w:szCs w:val="18"/>
          <w:lang w:val="en-US"/>
        </w:rPr>
        <w:t xml:space="preserve"> </w:t>
      </w:r>
    </w:p>
  </w:endnote>
  <w:endnote w:id="10">
    <w:p w:rsidR="00E80974" w:rsidRPr="00B658F8" w:rsidRDefault="00E80974" w:rsidP="00E80974">
      <w:pPr>
        <w:pStyle w:val="Textonotaalfinal"/>
        <w:jc w:val="both"/>
        <w:rPr>
          <w:rFonts w:ascii="Arial Narrow" w:hAnsi="Arial Narrow"/>
          <w:sz w:val="18"/>
          <w:szCs w:val="18"/>
          <w:lang w:val="en-US"/>
        </w:rPr>
      </w:pPr>
      <w:r w:rsidRPr="00490EF5">
        <w:rPr>
          <w:rStyle w:val="Refdenotaalfinal"/>
          <w:rFonts w:ascii="Arial Narrow" w:hAnsi="Arial Narrow"/>
          <w:sz w:val="18"/>
          <w:szCs w:val="18"/>
        </w:rPr>
        <w:endnoteRef/>
      </w:r>
      <w:r w:rsidRPr="0089093B">
        <w:rPr>
          <w:rFonts w:ascii="Arial Narrow" w:hAnsi="Arial Narrow"/>
          <w:sz w:val="18"/>
          <w:szCs w:val="18"/>
          <w:lang w:val="en-US"/>
        </w:rPr>
        <w:t xml:space="preserve"> “</w:t>
      </w:r>
      <w:r w:rsidR="0089093B" w:rsidRPr="0089093B">
        <w:rPr>
          <w:rFonts w:ascii="Arial Narrow" w:hAnsi="Arial Narrow"/>
          <w:sz w:val="18"/>
          <w:szCs w:val="18"/>
          <w:lang w:val="en-US"/>
        </w:rPr>
        <w:t xml:space="preserve">The beneficiaries of a contributory pension receive, on average, a monthly amount of $ 5,128 in the case of women and $ 6,602 in men. </w:t>
      </w:r>
      <w:r w:rsidR="0089093B" w:rsidRPr="00B658F8">
        <w:rPr>
          <w:rFonts w:ascii="Arial Narrow" w:hAnsi="Arial Narrow"/>
          <w:sz w:val="18"/>
          <w:szCs w:val="18"/>
          <w:lang w:val="en-US"/>
        </w:rPr>
        <w:t>The beneficiaries of a non-contributory pension receive approximately $ 600 (men and women)</w:t>
      </w:r>
      <w:r w:rsidRPr="00B658F8">
        <w:rPr>
          <w:rFonts w:ascii="Arial Narrow" w:hAnsi="Arial Narrow"/>
          <w:sz w:val="18"/>
          <w:szCs w:val="18"/>
          <w:lang w:val="en-US"/>
        </w:rPr>
        <w:t xml:space="preserve"> Fuente, CONSAR, </w:t>
      </w:r>
      <w:proofErr w:type="spellStart"/>
      <w:r w:rsidRPr="00B658F8">
        <w:rPr>
          <w:rFonts w:ascii="Arial Narrow" w:hAnsi="Arial Narrow"/>
          <w:sz w:val="18"/>
          <w:szCs w:val="18"/>
          <w:lang w:val="en-US"/>
        </w:rPr>
        <w:t>Ingresos</w:t>
      </w:r>
      <w:proofErr w:type="spellEnd"/>
      <w:r w:rsidRPr="00B658F8">
        <w:rPr>
          <w:rFonts w:ascii="Arial Narrow" w:hAnsi="Arial Narrow"/>
          <w:sz w:val="18"/>
          <w:szCs w:val="18"/>
          <w:lang w:val="en-US"/>
        </w:rPr>
        <w:t xml:space="preserve"> y </w:t>
      </w:r>
      <w:proofErr w:type="spellStart"/>
      <w:r w:rsidRPr="00B658F8">
        <w:rPr>
          <w:rFonts w:ascii="Arial Narrow" w:hAnsi="Arial Narrow"/>
          <w:sz w:val="18"/>
          <w:szCs w:val="18"/>
          <w:lang w:val="en-US"/>
        </w:rPr>
        <w:t>gastos</w:t>
      </w:r>
      <w:proofErr w:type="spellEnd"/>
      <w:r w:rsidRPr="00B658F8">
        <w:rPr>
          <w:rFonts w:ascii="Arial Narrow" w:hAnsi="Arial Narrow"/>
          <w:sz w:val="18"/>
          <w:szCs w:val="18"/>
          <w:lang w:val="en-US"/>
        </w:rPr>
        <w:t xml:space="preserve"> del </w:t>
      </w:r>
      <w:proofErr w:type="spellStart"/>
      <w:r w:rsidRPr="00B658F8">
        <w:rPr>
          <w:rFonts w:ascii="Arial Narrow" w:hAnsi="Arial Narrow"/>
          <w:sz w:val="18"/>
          <w:szCs w:val="18"/>
          <w:lang w:val="en-US"/>
        </w:rPr>
        <w:t>adulto</w:t>
      </w:r>
      <w:proofErr w:type="spellEnd"/>
      <w:r w:rsidRPr="00B658F8">
        <w:rPr>
          <w:rFonts w:ascii="Arial Narrow" w:hAnsi="Arial Narrow"/>
          <w:sz w:val="18"/>
          <w:szCs w:val="18"/>
          <w:lang w:val="en-US"/>
        </w:rPr>
        <w:t xml:space="preserve"> mayor </w:t>
      </w:r>
      <w:proofErr w:type="spellStart"/>
      <w:r w:rsidRPr="00B658F8">
        <w:rPr>
          <w:rFonts w:ascii="Arial Narrow" w:hAnsi="Arial Narrow"/>
          <w:sz w:val="18"/>
          <w:szCs w:val="18"/>
          <w:lang w:val="en-US"/>
        </w:rPr>
        <w:t>en</w:t>
      </w:r>
      <w:proofErr w:type="spellEnd"/>
      <w:r w:rsidRPr="00B658F8">
        <w:rPr>
          <w:rFonts w:ascii="Arial Narrow" w:hAnsi="Arial Narrow"/>
          <w:sz w:val="18"/>
          <w:szCs w:val="18"/>
          <w:lang w:val="en-US"/>
        </w:rPr>
        <w:t xml:space="preserve"> México, 2018, p. 3, </w:t>
      </w:r>
      <w:hyperlink r:id="rId3" w:history="1">
        <w:r w:rsidRPr="00B658F8">
          <w:rPr>
            <w:rStyle w:val="Hipervnculo"/>
            <w:rFonts w:ascii="Arial Narrow" w:hAnsi="Arial Narrow"/>
            <w:sz w:val="18"/>
            <w:szCs w:val="18"/>
            <w:lang w:val="en-US"/>
          </w:rPr>
          <w:t>https://www.gob.mx/cms/uploads/attachment/file/387784/Ingresos_y_gastos_del_adulto_mayor_en_Me_xico_vf-07092018_BUENA.pdf</w:t>
        </w:r>
      </w:hyperlink>
      <w:r w:rsidRPr="00B658F8">
        <w:rPr>
          <w:rFonts w:ascii="Arial Narrow" w:hAnsi="Arial Narrow"/>
          <w:sz w:val="18"/>
          <w:szCs w:val="18"/>
          <w:lang w:val="en-US"/>
        </w:rPr>
        <w:t xml:space="preserve"> </w:t>
      </w:r>
    </w:p>
  </w:endnote>
  <w:endnote w:id="11">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Actualmente Secretaría del Bienestar.</w:t>
      </w:r>
    </w:p>
  </w:endnote>
  <w:endnote w:id="12">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w:t>
      </w:r>
      <w:hyperlink r:id="rId4" w:history="1">
        <w:r w:rsidRPr="00490EF5">
          <w:rPr>
            <w:rStyle w:val="Hipervnculo"/>
            <w:rFonts w:ascii="Arial Narrow" w:hAnsi="Arial Narrow"/>
            <w:sz w:val="18"/>
            <w:szCs w:val="18"/>
          </w:rPr>
          <w:t>https://www.gob.mx/tramites/ficha/incorporacion-al-programa-pension-para-adultos-mayores/BIENESTAR61</w:t>
        </w:r>
      </w:hyperlink>
      <w:r w:rsidRPr="00490EF5">
        <w:rPr>
          <w:rFonts w:ascii="Arial Narrow" w:hAnsi="Arial Narrow"/>
          <w:sz w:val="18"/>
          <w:szCs w:val="18"/>
        </w:rPr>
        <w:t xml:space="preserve"> </w:t>
      </w:r>
    </w:p>
  </w:endnote>
  <w:endnote w:id="13">
    <w:p w:rsidR="00E80974" w:rsidRPr="00490EF5" w:rsidRDefault="00E80974" w:rsidP="00E80974">
      <w:pPr>
        <w:pStyle w:val="Textonotaalfinal"/>
        <w:jc w:val="both"/>
        <w:rPr>
          <w:rFonts w:ascii="Arial Narrow" w:hAnsi="Arial Narrow"/>
          <w:i/>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CONEVAL, </w:t>
      </w:r>
      <w:proofErr w:type="spellStart"/>
      <w:r w:rsidRPr="00490EF5">
        <w:rPr>
          <w:rFonts w:ascii="Arial Narrow" w:hAnsi="Arial Narrow"/>
          <w:i/>
          <w:sz w:val="18"/>
          <w:szCs w:val="18"/>
        </w:rPr>
        <w:t>Op</w:t>
      </w:r>
      <w:proofErr w:type="spellEnd"/>
      <w:r w:rsidRPr="00490EF5">
        <w:rPr>
          <w:rFonts w:ascii="Arial Narrow" w:hAnsi="Arial Narrow"/>
          <w:i/>
          <w:sz w:val="18"/>
          <w:szCs w:val="18"/>
        </w:rPr>
        <w:t xml:space="preserve">. Cit., p. </w:t>
      </w:r>
    </w:p>
  </w:endnote>
  <w:endnote w:id="14">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w:t>
      </w:r>
      <w:r w:rsidRPr="00490EF5">
        <w:rPr>
          <w:rFonts w:ascii="Arial Narrow" w:hAnsi="Arial Narrow" w:cs="Arial"/>
          <w:i/>
          <w:sz w:val="18"/>
          <w:szCs w:val="18"/>
        </w:rPr>
        <w:t>Ibídem</w:t>
      </w:r>
      <w:r w:rsidRPr="00490EF5">
        <w:rPr>
          <w:rFonts w:ascii="Arial Narrow" w:hAnsi="Arial Narrow" w:cs="Arial"/>
          <w:sz w:val="18"/>
          <w:szCs w:val="18"/>
        </w:rPr>
        <w:t>, p. 28.</w:t>
      </w:r>
    </w:p>
  </w:endnote>
  <w:endnote w:id="15">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w:t>
      </w:r>
      <w:r w:rsidRPr="00490EF5">
        <w:rPr>
          <w:rFonts w:ascii="Arial Narrow" w:hAnsi="Arial Narrow" w:cs="Arial"/>
          <w:i/>
          <w:sz w:val="18"/>
          <w:szCs w:val="18"/>
        </w:rPr>
        <w:t>Ibídem</w:t>
      </w:r>
      <w:r w:rsidRPr="00490EF5">
        <w:rPr>
          <w:rFonts w:ascii="Arial Narrow" w:hAnsi="Arial Narrow" w:cs="Arial"/>
          <w:sz w:val="18"/>
          <w:szCs w:val="18"/>
        </w:rPr>
        <w:t>,</w:t>
      </w:r>
      <w:r>
        <w:rPr>
          <w:rFonts w:ascii="Arial Narrow" w:hAnsi="Arial Narrow" w:cs="Arial"/>
          <w:sz w:val="18"/>
          <w:szCs w:val="18"/>
        </w:rPr>
        <w:t xml:space="preserve"> p</w:t>
      </w:r>
      <w:r w:rsidRPr="00490EF5">
        <w:rPr>
          <w:rFonts w:ascii="Arial Narrow" w:hAnsi="Arial Narrow"/>
          <w:sz w:val="18"/>
          <w:szCs w:val="18"/>
        </w:rPr>
        <w:t>. 63.</w:t>
      </w:r>
    </w:p>
  </w:endnote>
  <w:endnote w:id="16">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w:t>
      </w:r>
      <w:r w:rsidRPr="00490EF5">
        <w:rPr>
          <w:rFonts w:ascii="Arial Narrow" w:hAnsi="Arial Narrow" w:cs="Arial"/>
          <w:i/>
          <w:sz w:val="18"/>
          <w:szCs w:val="18"/>
        </w:rPr>
        <w:t>Ibídem</w:t>
      </w:r>
      <w:r w:rsidRPr="00490EF5">
        <w:rPr>
          <w:rFonts w:ascii="Arial Narrow" w:hAnsi="Arial Narrow" w:cs="Arial"/>
          <w:sz w:val="18"/>
          <w:szCs w:val="18"/>
        </w:rPr>
        <w:t>,</w:t>
      </w:r>
      <w:r w:rsidRPr="00490EF5">
        <w:rPr>
          <w:rFonts w:ascii="Arial Narrow" w:hAnsi="Arial Narrow"/>
          <w:i/>
          <w:sz w:val="18"/>
          <w:szCs w:val="18"/>
        </w:rPr>
        <w:t xml:space="preserve"> </w:t>
      </w:r>
      <w:r w:rsidRPr="00646CD3">
        <w:rPr>
          <w:rFonts w:ascii="Arial Narrow" w:hAnsi="Arial Narrow"/>
          <w:sz w:val="18"/>
          <w:szCs w:val="18"/>
        </w:rPr>
        <w:t>p</w:t>
      </w:r>
      <w:r w:rsidRPr="00490EF5">
        <w:rPr>
          <w:rFonts w:ascii="Arial Narrow" w:hAnsi="Arial Narrow"/>
          <w:i/>
          <w:sz w:val="18"/>
          <w:szCs w:val="18"/>
        </w:rPr>
        <w:t xml:space="preserve">. </w:t>
      </w:r>
      <w:r w:rsidRPr="00490EF5">
        <w:rPr>
          <w:rFonts w:ascii="Arial Narrow" w:hAnsi="Arial Narrow"/>
          <w:sz w:val="18"/>
          <w:szCs w:val="18"/>
        </w:rPr>
        <w:t>20.</w:t>
      </w:r>
    </w:p>
  </w:endnote>
  <w:endnote w:id="17">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w:t>
      </w:r>
      <w:r w:rsidRPr="00490EF5">
        <w:rPr>
          <w:rFonts w:ascii="Arial Narrow" w:hAnsi="Arial Narrow"/>
          <w:i/>
          <w:sz w:val="18"/>
          <w:szCs w:val="18"/>
        </w:rPr>
        <w:t xml:space="preserve">Ibídem, </w:t>
      </w:r>
      <w:r w:rsidRPr="00646CD3">
        <w:rPr>
          <w:rFonts w:ascii="Arial Narrow" w:hAnsi="Arial Narrow"/>
          <w:sz w:val="18"/>
          <w:szCs w:val="18"/>
        </w:rPr>
        <w:t>p</w:t>
      </w:r>
      <w:r w:rsidRPr="00490EF5">
        <w:rPr>
          <w:rFonts w:ascii="Arial Narrow" w:hAnsi="Arial Narrow"/>
          <w:sz w:val="18"/>
          <w:szCs w:val="18"/>
        </w:rPr>
        <w:t>. 73.</w:t>
      </w:r>
    </w:p>
  </w:endnote>
  <w:endnote w:id="18">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w:t>
      </w:r>
      <w:hyperlink r:id="rId5" w:history="1">
        <w:r w:rsidRPr="00490EF5">
          <w:rPr>
            <w:rStyle w:val="Hipervnculo"/>
            <w:rFonts w:ascii="Arial Narrow" w:hAnsi="Arial Narrow"/>
            <w:sz w:val="18"/>
            <w:szCs w:val="18"/>
          </w:rPr>
          <w:t>http://www.seguropopular.org/</w:t>
        </w:r>
      </w:hyperlink>
      <w:r w:rsidRPr="00490EF5">
        <w:rPr>
          <w:rFonts w:ascii="Arial Narrow" w:hAnsi="Arial Narrow"/>
          <w:sz w:val="18"/>
          <w:szCs w:val="18"/>
        </w:rPr>
        <w:t xml:space="preserve"> </w:t>
      </w:r>
    </w:p>
  </w:endnote>
  <w:endnote w:id="19">
    <w:p w:rsidR="00E80974" w:rsidRPr="00490EF5" w:rsidRDefault="00E80974" w:rsidP="00E80974">
      <w:pPr>
        <w:pStyle w:val="Textonotaalfinal"/>
        <w:jc w:val="both"/>
        <w:rPr>
          <w:rFonts w:ascii="Arial Narrow" w:hAnsi="Arial Narrow"/>
          <w:i/>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INEGI, </w:t>
      </w:r>
      <w:r w:rsidRPr="00490EF5">
        <w:rPr>
          <w:rFonts w:ascii="Arial Narrow" w:hAnsi="Arial Narrow"/>
          <w:i/>
          <w:sz w:val="18"/>
          <w:szCs w:val="18"/>
        </w:rPr>
        <w:t xml:space="preserve">Encuesta </w:t>
      </w:r>
      <w:proofErr w:type="spellStart"/>
      <w:r w:rsidRPr="00490EF5">
        <w:rPr>
          <w:rFonts w:ascii="Arial Narrow" w:hAnsi="Arial Narrow"/>
          <w:i/>
          <w:sz w:val="18"/>
          <w:szCs w:val="18"/>
        </w:rPr>
        <w:t>Intercensal</w:t>
      </w:r>
      <w:proofErr w:type="spellEnd"/>
      <w:r w:rsidRPr="00490EF5">
        <w:rPr>
          <w:rFonts w:ascii="Arial Narrow" w:hAnsi="Arial Narrow"/>
          <w:i/>
          <w:sz w:val="18"/>
          <w:szCs w:val="18"/>
        </w:rPr>
        <w:t xml:space="preserve"> 2015.</w:t>
      </w:r>
    </w:p>
  </w:endnote>
  <w:endnote w:id="20">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CONEVAL, </w:t>
      </w:r>
      <w:proofErr w:type="spellStart"/>
      <w:r w:rsidRPr="00490EF5">
        <w:rPr>
          <w:rFonts w:ascii="Arial Narrow" w:hAnsi="Arial Narrow"/>
          <w:i/>
          <w:sz w:val="18"/>
          <w:szCs w:val="18"/>
        </w:rPr>
        <w:t>Op</w:t>
      </w:r>
      <w:proofErr w:type="spellEnd"/>
      <w:r w:rsidRPr="00490EF5">
        <w:rPr>
          <w:rFonts w:ascii="Arial Narrow" w:hAnsi="Arial Narrow"/>
          <w:i/>
          <w:sz w:val="18"/>
          <w:szCs w:val="18"/>
        </w:rPr>
        <w:t xml:space="preserve">. Cit. </w:t>
      </w:r>
      <w:r w:rsidRPr="00490EF5">
        <w:rPr>
          <w:rFonts w:ascii="Arial Narrow" w:hAnsi="Arial Narrow"/>
          <w:sz w:val="18"/>
          <w:szCs w:val="18"/>
        </w:rPr>
        <w:t xml:space="preserve">p. 31. </w:t>
      </w:r>
    </w:p>
  </w:endnote>
  <w:endnote w:id="21">
    <w:p w:rsidR="00E80974" w:rsidRPr="00490EF5" w:rsidRDefault="00E80974" w:rsidP="00E80974">
      <w:pPr>
        <w:pStyle w:val="Textonotaalfinal"/>
        <w:jc w:val="both"/>
        <w:rPr>
          <w:rFonts w:ascii="Arial Narrow" w:hAnsi="Arial Narrow"/>
          <w:sz w:val="18"/>
          <w:szCs w:val="18"/>
        </w:rPr>
      </w:pPr>
      <w:r w:rsidRPr="00490EF5">
        <w:rPr>
          <w:rStyle w:val="Refdenotaalfinal"/>
          <w:rFonts w:ascii="Arial Narrow" w:hAnsi="Arial Narrow"/>
          <w:sz w:val="18"/>
          <w:szCs w:val="18"/>
        </w:rPr>
        <w:endnoteRef/>
      </w:r>
      <w:r w:rsidRPr="00490EF5">
        <w:rPr>
          <w:rFonts w:ascii="Arial Narrow" w:hAnsi="Arial Narrow"/>
          <w:sz w:val="18"/>
          <w:szCs w:val="18"/>
        </w:rPr>
        <w:t xml:space="preserve"> Secretaría de Salud, Informe sobre la Salud de los Mexicanos 2016, p. 16, </w:t>
      </w:r>
      <w:hyperlink r:id="rId6" w:history="1">
        <w:r w:rsidRPr="00490EF5">
          <w:rPr>
            <w:rStyle w:val="Hipervnculo"/>
            <w:rFonts w:ascii="Arial Narrow" w:hAnsi="Arial Narrow"/>
            <w:sz w:val="18"/>
            <w:szCs w:val="18"/>
          </w:rPr>
          <w:t>https://www.gob.mx/cms/uploads/attachment/file/239410/ISSM_2016.pdf</w:t>
        </w:r>
      </w:hyperlink>
      <w:r w:rsidRPr="00490EF5">
        <w:rPr>
          <w:rFonts w:ascii="Arial Narrow" w:hAnsi="Arial Narrow"/>
          <w:sz w:val="18"/>
          <w:szCs w:val="18"/>
        </w:rPr>
        <w:t xml:space="preserve"> </w:t>
      </w:r>
    </w:p>
  </w:endnote>
  <w:endnote w:id="22">
    <w:p w:rsidR="00E80974" w:rsidRPr="0080789D" w:rsidRDefault="00E80974" w:rsidP="00E80974">
      <w:pPr>
        <w:pStyle w:val="Textonotaalfinal"/>
        <w:jc w:val="both"/>
        <w:rPr>
          <w:rFonts w:ascii="Arial Narrow" w:hAnsi="Arial Narrow"/>
          <w:sz w:val="18"/>
          <w:szCs w:val="18"/>
        </w:rPr>
      </w:pPr>
      <w:r w:rsidRPr="0080789D">
        <w:rPr>
          <w:rStyle w:val="Refdenotaalfinal"/>
          <w:rFonts w:ascii="Arial Narrow" w:hAnsi="Arial Narrow"/>
          <w:sz w:val="18"/>
          <w:szCs w:val="18"/>
        </w:rPr>
        <w:endnoteRef/>
      </w:r>
      <w:r w:rsidRPr="0080789D">
        <w:rPr>
          <w:rFonts w:ascii="Arial Narrow" w:hAnsi="Arial Narrow"/>
          <w:sz w:val="18"/>
          <w:szCs w:val="18"/>
        </w:rPr>
        <w:t xml:space="preserve"> CNDH, p. 160-161, </w:t>
      </w:r>
      <w:hyperlink r:id="rId7" w:history="1">
        <w:r w:rsidRPr="0080789D">
          <w:rPr>
            <w:rStyle w:val="Hipervnculo"/>
            <w:rFonts w:ascii="Arial Narrow" w:hAnsi="Arial Narrow"/>
            <w:sz w:val="18"/>
            <w:szCs w:val="18"/>
          </w:rPr>
          <w:t>http://www.cndh.org.mx/sites/all/doc/Informes/Especiales/Pobreza_DH_082018.pdf</w:t>
        </w:r>
      </w:hyperlink>
      <w:r w:rsidRPr="0080789D">
        <w:rPr>
          <w:rFonts w:ascii="Arial Narrow" w:hAnsi="Arial Narrow"/>
          <w:sz w:val="18"/>
          <w:szCs w:val="18"/>
        </w:rPr>
        <w:t xml:space="preserve"> </w:t>
      </w:r>
    </w:p>
  </w:endnote>
  <w:endnote w:id="23">
    <w:p w:rsidR="00E80974" w:rsidRPr="0080789D" w:rsidRDefault="00E80974" w:rsidP="00E80974">
      <w:pPr>
        <w:pStyle w:val="Textonotaalfinal"/>
        <w:jc w:val="both"/>
        <w:rPr>
          <w:rFonts w:ascii="Arial Narrow" w:hAnsi="Arial Narrow"/>
          <w:sz w:val="18"/>
          <w:szCs w:val="18"/>
        </w:rPr>
      </w:pPr>
      <w:r w:rsidRPr="0080789D">
        <w:rPr>
          <w:rStyle w:val="Refdenotaalfinal"/>
          <w:rFonts w:ascii="Arial Narrow" w:hAnsi="Arial Narrow"/>
          <w:sz w:val="18"/>
          <w:szCs w:val="18"/>
        </w:rPr>
        <w:endnoteRef/>
      </w:r>
      <w:r w:rsidRPr="0080789D">
        <w:rPr>
          <w:rFonts w:ascii="Arial Narrow" w:hAnsi="Arial Narrow"/>
          <w:sz w:val="18"/>
          <w:szCs w:val="18"/>
        </w:rPr>
        <w:t xml:space="preserve"> </w:t>
      </w:r>
      <w:hyperlink r:id="rId8" w:history="1">
        <w:r w:rsidRPr="0080789D">
          <w:rPr>
            <w:rStyle w:val="Hipervnculo"/>
            <w:rFonts w:ascii="Arial Narrow" w:hAnsi="Arial Narrow"/>
            <w:sz w:val="18"/>
            <w:szCs w:val="18"/>
          </w:rPr>
          <w:t>http://www.cndh.org.mx/sites/all/doc/Informes/Especiales/Envejecer-dignidad-DH-24042018.pdf</w:t>
        </w:r>
      </w:hyperlink>
      <w:r w:rsidRPr="0080789D">
        <w:rPr>
          <w:rFonts w:ascii="Arial Narrow" w:hAnsi="Arial Narrow"/>
          <w:sz w:val="18"/>
          <w:szCs w:val="18"/>
        </w:rPr>
        <w:t xml:space="preserve"> </w:t>
      </w:r>
    </w:p>
  </w:endnote>
  <w:endnote w:id="24">
    <w:p w:rsidR="00E80974" w:rsidRDefault="00E80974" w:rsidP="00E80974">
      <w:pPr>
        <w:pStyle w:val="Textonotaalfinal"/>
      </w:pPr>
      <w:r w:rsidRPr="0080789D">
        <w:rPr>
          <w:rStyle w:val="Refdenotaalfinal"/>
          <w:rFonts w:ascii="Arial Narrow" w:hAnsi="Arial Narrow"/>
          <w:sz w:val="18"/>
          <w:szCs w:val="18"/>
        </w:rPr>
        <w:endnoteRef/>
      </w:r>
      <w:r w:rsidRPr="0080789D">
        <w:rPr>
          <w:rFonts w:ascii="Arial Narrow" w:hAnsi="Arial Narrow"/>
          <w:sz w:val="18"/>
          <w:szCs w:val="18"/>
        </w:rPr>
        <w:t xml:space="preserve"> </w:t>
      </w:r>
      <w:hyperlink r:id="rId9" w:history="1">
        <w:r w:rsidRPr="0080789D">
          <w:rPr>
            <w:rStyle w:val="Hipervnculo"/>
            <w:rFonts w:ascii="Arial Narrow" w:hAnsi="Arial Narrow"/>
            <w:sz w:val="18"/>
            <w:szCs w:val="18"/>
          </w:rPr>
          <w:t>https://www.gob.mx/consar/articulos/las-25-acciones-y-herramientas-de-educacion-financiera-de-la-consar?idiom=es</w:t>
        </w:r>
      </w:hyperlink>
      <w:r>
        <w:t xml:space="preserve"> </w:t>
      </w:r>
    </w:p>
  </w:endnote>
  <w:endnote w:id="25">
    <w:p w:rsidR="00E80974" w:rsidRPr="00DB0C07" w:rsidRDefault="00E80974" w:rsidP="00E80974">
      <w:pPr>
        <w:pStyle w:val="Textonotaalfinal"/>
        <w:jc w:val="both"/>
        <w:rPr>
          <w:rFonts w:ascii="Arial Narrow" w:hAnsi="Arial Narrow" w:cs="Tahoma"/>
          <w:sz w:val="18"/>
          <w:szCs w:val="18"/>
        </w:rPr>
      </w:pPr>
      <w:r w:rsidRPr="00DB0C07">
        <w:rPr>
          <w:rStyle w:val="Refdenotaalfinal"/>
          <w:rFonts w:ascii="Arial Narrow" w:hAnsi="Arial Narrow" w:cs="Tahoma"/>
          <w:sz w:val="18"/>
          <w:szCs w:val="18"/>
        </w:rPr>
        <w:endnoteRef/>
      </w:r>
      <w:r w:rsidRPr="00DB0C07">
        <w:rPr>
          <w:rFonts w:ascii="Arial Narrow" w:hAnsi="Arial Narrow" w:cs="Tahoma"/>
          <w:sz w:val="18"/>
          <w:szCs w:val="18"/>
        </w:rPr>
        <w:t xml:space="preserve"> </w:t>
      </w:r>
      <w:hyperlink r:id="rId10" w:history="1">
        <w:r w:rsidRPr="00DB0C07">
          <w:rPr>
            <w:rStyle w:val="Hipervnculo"/>
            <w:rFonts w:ascii="Arial Narrow" w:hAnsi="Arial Narrow" w:cs="Tahoma"/>
            <w:sz w:val="18"/>
            <w:szCs w:val="18"/>
          </w:rPr>
          <w:t>http://comunicacion.senado.gob.mx/index.php/informacion/boletines/42549-por-unanimidad-aprueba-senado-garantizar-derecho-de-seguridad-social-a-parejas-del-mismo-sexo.html</w:t>
        </w:r>
      </w:hyperlink>
      <w:r w:rsidRPr="00DB0C07">
        <w:rPr>
          <w:rFonts w:ascii="Arial Narrow" w:hAnsi="Arial Narrow" w:cs="Tahoma"/>
          <w:sz w:val="18"/>
          <w:szCs w:val="18"/>
        </w:rPr>
        <w:t xml:space="preserve"> </w:t>
      </w:r>
    </w:p>
  </w:endnote>
  <w:endnote w:id="26">
    <w:p w:rsidR="00E80974" w:rsidRPr="00DB0C07" w:rsidRDefault="00E80974" w:rsidP="00E80974">
      <w:pPr>
        <w:pStyle w:val="Textonotaalfinal"/>
        <w:jc w:val="both"/>
        <w:rPr>
          <w:rFonts w:ascii="Arial Narrow" w:hAnsi="Arial Narrow" w:cs="Tahoma"/>
          <w:sz w:val="18"/>
          <w:szCs w:val="18"/>
        </w:rPr>
      </w:pPr>
      <w:r w:rsidRPr="00DB0C07">
        <w:rPr>
          <w:rStyle w:val="Refdenotaalfinal"/>
          <w:rFonts w:ascii="Arial Narrow" w:hAnsi="Arial Narrow" w:cs="Tahoma"/>
          <w:sz w:val="18"/>
          <w:szCs w:val="18"/>
        </w:rPr>
        <w:endnoteRef/>
      </w:r>
      <w:r w:rsidRPr="00DB0C07">
        <w:rPr>
          <w:rFonts w:ascii="Arial Narrow" w:hAnsi="Arial Narrow" w:cs="Tahoma"/>
          <w:sz w:val="18"/>
          <w:szCs w:val="18"/>
        </w:rPr>
        <w:t xml:space="preserve"> </w:t>
      </w:r>
      <w:hyperlink r:id="rId11" w:history="1">
        <w:r w:rsidRPr="00DB0C07">
          <w:rPr>
            <w:rStyle w:val="Hipervnculo"/>
            <w:rFonts w:ascii="Arial Narrow" w:hAnsi="Arial Narrow" w:cs="Tahoma"/>
            <w:sz w:val="18"/>
            <w:szCs w:val="18"/>
          </w:rPr>
          <w:t>https://www.coneval.org.mx/Evaluacion/IEPSM/IEPSM/Documents/RESUMEN_EJECUTIVO_IEPDS2018.pdf</w:t>
        </w:r>
      </w:hyperlink>
      <w:r w:rsidRPr="00DB0C07">
        <w:rPr>
          <w:rFonts w:ascii="Arial Narrow" w:hAnsi="Arial Narrow" w:cs="Tahoma"/>
          <w:sz w:val="18"/>
          <w:szCs w:val="18"/>
        </w:rPr>
        <w:t xml:space="preserve"> </w:t>
      </w:r>
    </w:p>
  </w:endnote>
  <w:endnote w:id="27">
    <w:p w:rsidR="00E80974" w:rsidRPr="00DB0C07" w:rsidRDefault="00E80974" w:rsidP="00E80974">
      <w:pPr>
        <w:pStyle w:val="Textonotaalfinal"/>
        <w:jc w:val="both"/>
        <w:rPr>
          <w:rFonts w:ascii="Arial Narrow" w:hAnsi="Arial Narrow" w:cs="Tahoma"/>
          <w:sz w:val="18"/>
          <w:szCs w:val="18"/>
        </w:rPr>
      </w:pPr>
      <w:r w:rsidRPr="00DB0C07">
        <w:rPr>
          <w:rStyle w:val="Refdenotaalfinal"/>
          <w:rFonts w:ascii="Arial Narrow" w:hAnsi="Arial Narrow" w:cs="Tahoma"/>
          <w:sz w:val="18"/>
          <w:szCs w:val="18"/>
        </w:rPr>
        <w:endnoteRef/>
      </w:r>
      <w:r w:rsidRPr="00DB0C07">
        <w:rPr>
          <w:rFonts w:ascii="Arial Narrow" w:hAnsi="Arial Narrow" w:cs="Tahoma"/>
          <w:sz w:val="18"/>
          <w:szCs w:val="18"/>
        </w:rPr>
        <w:t xml:space="preserve"> Informe de la CNDH sobre Personas Mayores en Centros Penitenciarios, 2017, http://www.cndh.org.mx/sites/all/doc/Informes/Especiales/Adultos-Mayores-Centros.pdf ; Comisión Estatal de Derechos Humanos de Nuevo León, Diagnóstico sobre los derechos de las personas adultas mayores en el Estado de Nuevo León, 2017, </w:t>
      </w:r>
      <w:hyperlink r:id="rId12" w:history="1">
        <w:r w:rsidRPr="00DB0C07">
          <w:rPr>
            <w:rStyle w:val="Hipervnculo"/>
            <w:rFonts w:ascii="Arial Narrow" w:hAnsi="Arial Narrow" w:cs="Tahoma"/>
            <w:sz w:val="18"/>
            <w:szCs w:val="18"/>
          </w:rPr>
          <w:t>https://www.cedhnl.org.mx/bs/secciones/publicaciones/publicaciones-especiales/Diagnostico-DAMNL.pdf</w:t>
        </w:r>
      </w:hyperlink>
      <w:r w:rsidRPr="00DB0C07">
        <w:rPr>
          <w:rFonts w:ascii="Arial Narrow" w:hAnsi="Arial Narrow" w:cs="Tahoma"/>
          <w:sz w:val="18"/>
          <w:szCs w:val="18"/>
        </w:rPr>
        <w:t xml:space="preserve"> </w:t>
      </w:r>
    </w:p>
  </w:endnote>
  <w:endnote w:id="28">
    <w:p w:rsidR="00E80974" w:rsidRPr="00DB0C07" w:rsidRDefault="00E80974" w:rsidP="00E80974">
      <w:pPr>
        <w:pStyle w:val="Textonotaalfinal"/>
        <w:jc w:val="both"/>
        <w:rPr>
          <w:rFonts w:ascii="Arial Narrow" w:hAnsi="Arial Narrow" w:cs="Tahoma"/>
          <w:sz w:val="18"/>
          <w:szCs w:val="18"/>
        </w:rPr>
      </w:pPr>
      <w:r w:rsidRPr="00DB0C07">
        <w:rPr>
          <w:rStyle w:val="Refdenotaalfinal"/>
          <w:rFonts w:ascii="Arial Narrow" w:hAnsi="Arial Narrow" w:cs="Tahoma"/>
          <w:sz w:val="18"/>
          <w:szCs w:val="18"/>
        </w:rPr>
        <w:endnoteRef/>
      </w:r>
      <w:r w:rsidRPr="00DB0C07">
        <w:rPr>
          <w:rFonts w:ascii="Arial Narrow" w:hAnsi="Arial Narrow" w:cs="Tahoma"/>
          <w:sz w:val="18"/>
          <w:szCs w:val="18"/>
        </w:rPr>
        <w:t xml:space="preserve"> </w:t>
      </w:r>
      <w:hyperlink r:id="rId13" w:history="1">
        <w:r w:rsidRPr="00DB0C07">
          <w:rPr>
            <w:rStyle w:val="Hipervnculo"/>
            <w:rFonts w:ascii="Arial Narrow" w:hAnsi="Arial Narrow" w:cs="Tahoma"/>
            <w:sz w:val="18"/>
            <w:szCs w:val="18"/>
          </w:rPr>
          <w:t>https://repositorio.cepal.org/bitstream/handle/11362/43253/1/S1800036_es.pdf</w:t>
        </w:r>
      </w:hyperlink>
      <w:r w:rsidRPr="00DB0C07">
        <w:rPr>
          <w:rFonts w:ascii="Arial Narrow" w:hAnsi="Arial Narrow" w:cs="Tahoma"/>
          <w:sz w:val="18"/>
          <w:szCs w:val="18"/>
        </w:rPr>
        <w:t xml:space="preserve"> </w:t>
      </w:r>
    </w:p>
  </w:endnote>
  <w:endnote w:id="29">
    <w:p w:rsidR="00E80974" w:rsidRDefault="00E80974" w:rsidP="00E80974">
      <w:pPr>
        <w:pStyle w:val="Textonotaalfinal"/>
        <w:jc w:val="both"/>
      </w:pPr>
      <w:r w:rsidRPr="00DB0C07">
        <w:rPr>
          <w:rStyle w:val="Refdenotaalfinal"/>
          <w:rFonts w:ascii="Arial Narrow" w:hAnsi="Arial Narrow" w:cs="Tahoma"/>
          <w:sz w:val="18"/>
          <w:szCs w:val="18"/>
        </w:rPr>
        <w:endnoteRef/>
      </w:r>
      <w:r>
        <w:rPr>
          <w:rFonts w:ascii="Arial Narrow" w:hAnsi="Arial Narrow" w:cs="Tahoma"/>
          <w:sz w:val="18"/>
          <w:szCs w:val="18"/>
        </w:rPr>
        <w:t xml:space="preserve"> </w:t>
      </w:r>
      <w:r w:rsidR="00B658F8" w:rsidRPr="00B658F8">
        <w:rPr>
          <w:rFonts w:ascii="Arial Narrow" w:hAnsi="Arial Narrow" w:cs="Tahoma"/>
          <w:sz w:val="18"/>
          <w:szCs w:val="18"/>
        </w:rPr>
        <w:t xml:space="preserve">In </w:t>
      </w:r>
      <w:proofErr w:type="spellStart"/>
      <w:r w:rsidR="00B658F8" w:rsidRPr="00B658F8">
        <w:rPr>
          <w:rFonts w:ascii="Arial Narrow" w:hAnsi="Arial Narrow" w:cs="Tahoma"/>
          <w:sz w:val="18"/>
          <w:szCs w:val="18"/>
        </w:rPr>
        <w:t>February</w:t>
      </w:r>
      <w:proofErr w:type="spellEnd"/>
      <w:r w:rsidR="00B658F8" w:rsidRPr="00B658F8">
        <w:rPr>
          <w:rFonts w:ascii="Arial Narrow" w:hAnsi="Arial Narrow" w:cs="Tahoma"/>
          <w:sz w:val="18"/>
          <w:szCs w:val="18"/>
        </w:rPr>
        <w:t xml:space="preserve"> 2017, a </w:t>
      </w:r>
      <w:proofErr w:type="spellStart"/>
      <w:r w:rsidR="00B658F8" w:rsidRPr="00B658F8">
        <w:rPr>
          <w:rFonts w:ascii="Arial Narrow" w:hAnsi="Arial Narrow" w:cs="Tahoma"/>
          <w:sz w:val="18"/>
          <w:szCs w:val="18"/>
        </w:rPr>
        <w:t>reform</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was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approved</w:t>
      </w:r>
      <w:proofErr w:type="spellEnd"/>
      <w:r w:rsidR="00B658F8" w:rsidRPr="00B658F8">
        <w:rPr>
          <w:rFonts w:ascii="Arial Narrow" w:hAnsi="Arial Narrow" w:cs="Tahoma"/>
          <w:sz w:val="18"/>
          <w:szCs w:val="18"/>
        </w:rPr>
        <w:t xml:space="preserve"> to </w:t>
      </w:r>
      <w:proofErr w:type="spellStart"/>
      <w:r w:rsidR="00B658F8" w:rsidRPr="00B658F8">
        <w:rPr>
          <w:rFonts w:ascii="Arial Narrow" w:hAnsi="Arial Narrow" w:cs="Tahoma"/>
          <w:sz w:val="18"/>
          <w:szCs w:val="18"/>
        </w:rPr>
        <w:t>articles</w:t>
      </w:r>
      <w:proofErr w:type="spellEnd"/>
      <w:r w:rsidR="00B658F8" w:rsidRPr="00B658F8">
        <w:rPr>
          <w:rFonts w:ascii="Arial Narrow" w:hAnsi="Arial Narrow" w:cs="Tahoma"/>
          <w:sz w:val="18"/>
          <w:szCs w:val="18"/>
        </w:rPr>
        <w:t xml:space="preserve"> 107 and 123 of </w:t>
      </w:r>
      <w:proofErr w:type="spellStart"/>
      <w:r w:rsidR="00B658F8" w:rsidRPr="00B658F8">
        <w:rPr>
          <w:rFonts w:ascii="Arial Narrow" w:hAnsi="Arial Narrow" w:cs="Tahoma"/>
          <w:sz w:val="18"/>
          <w:szCs w:val="18"/>
        </w:rPr>
        <w:t>the</w:t>
      </w:r>
      <w:proofErr w:type="spellEnd"/>
      <w:r w:rsidR="00B658F8" w:rsidRPr="00B658F8">
        <w:rPr>
          <w:rFonts w:ascii="Arial Narrow" w:hAnsi="Arial Narrow" w:cs="Tahoma"/>
          <w:sz w:val="18"/>
          <w:szCs w:val="18"/>
        </w:rPr>
        <w:t xml:space="preserve"> CPEUM, </w:t>
      </w:r>
      <w:proofErr w:type="spellStart"/>
      <w:r w:rsidR="00B658F8" w:rsidRPr="00B658F8">
        <w:rPr>
          <w:rFonts w:ascii="Arial Narrow" w:hAnsi="Arial Narrow" w:cs="Tahoma"/>
          <w:sz w:val="18"/>
          <w:szCs w:val="18"/>
        </w:rPr>
        <w:t>which</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establishes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that</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conflicts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between</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the</w:t>
      </w:r>
      <w:proofErr w:type="spellEnd"/>
      <w:r w:rsidR="00B658F8" w:rsidRPr="00B658F8">
        <w:rPr>
          <w:rFonts w:ascii="Arial Narrow" w:hAnsi="Arial Narrow" w:cs="Tahoma"/>
          <w:sz w:val="18"/>
          <w:szCs w:val="18"/>
        </w:rPr>
        <w:t xml:space="preserve"> labor and </w:t>
      </w:r>
      <w:proofErr w:type="spellStart"/>
      <w:r w:rsidR="00B658F8" w:rsidRPr="00B658F8">
        <w:rPr>
          <w:rFonts w:ascii="Arial Narrow" w:hAnsi="Arial Narrow" w:cs="Tahoma"/>
          <w:sz w:val="18"/>
          <w:szCs w:val="18"/>
        </w:rPr>
        <w:t>employer</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sectors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will</w:t>
      </w:r>
      <w:proofErr w:type="spellEnd"/>
      <w:r w:rsidR="00B658F8" w:rsidRPr="00B658F8">
        <w:rPr>
          <w:rFonts w:ascii="Arial Narrow" w:hAnsi="Arial Narrow" w:cs="Tahoma"/>
          <w:sz w:val="18"/>
          <w:szCs w:val="18"/>
        </w:rPr>
        <w:t xml:space="preserve"> be </w:t>
      </w:r>
      <w:proofErr w:type="spellStart"/>
      <w:r w:rsidR="00B658F8" w:rsidRPr="00B658F8">
        <w:rPr>
          <w:rFonts w:ascii="Arial Narrow" w:hAnsi="Arial Narrow" w:cs="Tahoma"/>
          <w:sz w:val="18"/>
          <w:szCs w:val="18"/>
        </w:rPr>
        <w:t>substantiated</w:t>
      </w:r>
      <w:proofErr w:type="spellEnd"/>
      <w:r w:rsidR="00B658F8" w:rsidRPr="00B658F8">
        <w:rPr>
          <w:rFonts w:ascii="Arial Narrow" w:hAnsi="Arial Narrow" w:cs="Tahoma"/>
          <w:sz w:val="18"/>
          <w:szCs w:val="18"/>
        </w:rPr>
        <w:t xml:space="preserve"> in Labor </w:t>
      </w:r>
      <w:proofErr w:type="spellStart"/>
      <w:r w:rsidR="00B658F8" w:rsidRPr="00B658F8">
        <w:rPr>
          <w:rFonts w:ascii="Arial Narrow" w:hAnsi="Arial Narrow" w:cs="Tahoma"/>
          <w:sz w:val="18"/>
          <w:szCs w:val="18"/>
        </w:rPr>
        <w:t>Courts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attached</w:t>
      </w:r>
      <w:proofErr w:type="spellEnd"/>
      <w:r w:rsidR="00B658F8" w:rsidRPr="00B658F8">
        <w:rPr>
          <w:rFonts w:ascii="Arial Narrow" w:hAnsi="Arial Narrow" w:cs="Tahoma"/>
          <w:sz w:val="18"/>
          <w:szCs w:val="18"/>
        </w:rPr>
        <w:t xml:space="preserve"> to </w:t>
      </w:r>
      <w:proofErr w:type="spellStart"/>
      <w:r w:rsidR="00B658F8" w:rsidRPr="00B658F8">
        <w:rPr>
          <w:rFonts w:ascii="Arial Narrow" w:hAnsi="Arial Narrow" w:cs="Tahoma"/>
          <w:sz w:val="18"/>
          <w:szCs w:val="18"/>
        </w:rPr>
        <w:t>the</w:t>
      </w:r>
      <w:proofErr w:type="spellEnd"/>
      <w:r w:rsidR="00B658F8" w:rsidRPr="00B658F8">
        <w:rPr>
          <w:rFonts w:ascii="Arial Narrow" w:hAnsi="Arial Narrow" w:cs="Tahoma"/>
          <w:sz w:val="18"/>
          <w:szCs w:val="18"/>
        </w:rPr>
        <w:t xml:space="preserve"> Judicial </w:t>
      </w:r>
      <w:proofErr w:type="spellStart"/>
      <w:r w:rsidR="00B658F8" w:rsidRPr="00B658F8">
        <w:rPr>
          <w:rFonts w:ascii="Arial Narrow" w:hAnsi="Arial Narrow" w:cs="Tahoma"/>
          <w:sz w:val="18"/>
          <w:szCs w:val="18"/>
        </w:rPr>
        <w:t>Power</w:t>
      </w:r>
      <w:proofErr w:type="spellEnd"/>
      <w:r w:rsidR="00B658F8" w:rsidRPr="00B658F8">
        <w:rPr>
          <w:rFonts w:ascii="Arial Narrow" w:hAnsi="Arial Narrow" w:cs="Tahoma"/>
          <w:sz w:val="18"/>
          <w:szCs w:val="18"/>
        </w:rPr>
        <w:t xml:space="preserve"> of </w:t>
      </w:r>
      <w:proofErr w:type="spellStart"/>
      <w:r w:rsidR="00B658F8" w:rsidRPr="00B658F8">
        <w:rPr>
          <w:rFonts w:ascii="Arial Narrow" w:hAnsi="Arial Narrow" w:cs="Tahoma"/>
          <w:sz w:val="18"/>
          <w:szCs w:val="18"/>
        </w:rPr>
        <w:t>the</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Federation</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or</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the</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states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which</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they</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will</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replace</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the</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Conciliation</w:t>
      </w:r>
      <w:proofErr w:type="spellEnd"/>
      <w:r w:rsidR="00B658F8" w:rsidRPr="00B658F8">
        <w:rPr>
          <w:rFonts w:ascii="Arial Narrow" w:hAnsi="Arial Narrow" w:cs="Tahoma"/>
          <w:sz w:val="18"/>
          <w:szCs w:val="18"/>
        </w:rPr>
        <w:t xml:space="preserve"> and </w:t>
      </w:r>
      <w:proofErr w:type="spellStart"/>
      <w:r w:rsidR="00B658F8" w:rsidRPr="00B658F8">
        <w:rPr>
          <w:rFonts w:ascii="Arial Narrow" w:hAnsi="Arial Narrow" w:cs="Tahoma"/>
          <w:sz w:val="18"/>
          <w:szCs w:val="18"/>
        </w:rPr>
        <w:t>Arbitration</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Boards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whose</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nature</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is</w:t>
      </w:r>
      <w:proofErr w:type="spellEnd"/>
      <w:r w:rsidR="00B658F8" w:rsidRPr="00B658F8">
        <w:rPr>
          <w:rFonts w:ascii="Arial Narrow" w:hAnsi="Arial Narrow" w:cs="Tahoma"/>
          <w:sz w:val="18"/>
          <w:szCs w:val="18"/>
        </w:rPr>
        <w:t xml:space="preserve"> </w:t>
      </w:r>
      <w:proofErr w:type="spellStart"/>
      <w:r w:rsidR="00B658F8" w:rsidRPr="00B658F8">
        <w:rPr>
          <w:rFonts w:ascii="Arial Narrow" w:hAnsi="Arial Narrow" w:cs="Tahoma"/>
          <w:sz w:val="18"/>
          <w:szCs w:val="18"/>
        </w:rPr>
        <w:t>administrative</w:t>
      </w:r>
      <w:bookmarkStart w:id="0" w:name="_GoBack"/>
      <w:bookmarkEnd w:id="0"/>
      <w:proofErr w:type="spellEnd"/>
      <w:r>
        <w:rPr>
          <w:rFonts w:ascii="Arial Narrow" w:hAnsi="Arial Narrow" w:cs="Tahoma"/>
          <w:sz w:val="18"/>
          <w:szCs w:val="18"/>
        </w:rPr>
        <w:t xml:space="preserve">, </w:t>
      </w:r>
      <w:hyperlink r:id="rId14" w:history="1">
        <w:r w:rsidRPr="003F67FE">
          <w:rPr>
            <w:rStyle w:val="Hipervnculo"/>
            <w:rFonts w:ascii="Arial Narrow" w:hAnsi="Arial Narrow" w:cs="Tahoma"/>
            <w:sz w:val="18"/>
            <w:szCs w:val="18"/>
          </w:rPr>
          <w:t>http://dof.gob.mx/nota_detalle.php?codigo=5472965&amp;fecha=24/02/2017</w:t>
        </w:r>
      </w:hyperlink>
      <w:r>
        <w:rPr>
          <w:rFonts w:ascii="Arial Narrow" w:hAnsi="Arial Narrow" w:cs="Tahom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414"/>
      <w:docPartObj>
        <w:docPartGallery w:val="Page Numbers (Bottom of Page)"/>
        <w:docPartUnique/>
      </w:docPartObj>
    </w:sdtPr>
    <w:sdtEndPr/>
    <w:sdtContent>
      <w:p w:rsidR="008F046D" w:rsidRDefault="0052428D">
        <w:pPr>
          <w:pStyle w:val="Piedepgina"/>
          <w:jc w:val="center"/>
        </w:pPr>
        <w:r>
          <w:fldChar w:fldCharType="begin"/>
        </w:r>
        <w:r>
          <w:instrText>PAGE   \* MERGEFORMAT</w:instrText>
        </w:r>
        <w:r>
          <w:fldChar w:fldCharType="separate"/>
        </w:r>
        <w:r w:rsidR="00B658F8" w:rsidRPr="00B658F8">
          <w:rPr>
            <w:noProof/>
            <w:lang w:val="es-ES"/>
          </w:rPr>
          <w:t>1</w:t>
        </w:r>
        <w:r>
          <w:fldChar w:fldCharType="end"/>
        </w:r>
      </w:p>
    </w:sdtContent>
  </w:sdt>
  <w:p w:rsidR="008F046D" w:rsidRDefault="00746C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35" w:rsidRDefault="00746C35" w:rsidP="00E80974">
      <w:pPr>
        <w:spacing w:after="0" w:line="240" w:lineRule="auto"/>
      </w:pPr>
      <w:r>
        <w:separator/>
      </w:r>
    </w:p>
  </w:footnote>
  <w:footnote w:type="continuationSeparator" w:id="0">
    <w:p w:rsidR="00746C35" w:rsidRDefault="00746C35" w:rsidP="00E80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64D"/>
    <w:multiLevelType w:val="hybridMultilevel"/>
    <w:tmpl w:val="26B2C40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222673"/>
    <w:multiLevelType w:val="hybridMultilevel"/>
    <w:tmpl w:val="DB74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E5674F"/>
    <w:multiLevelType w:val="hybridMultilevel"/>
    <w:tmpl w:val="B7EEA0CE"/>
    <w:lvl w:ilvl="0" w:tplc="27E03BB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79D44B5"/>
    <w:multiLevelType w:val="hybridMultilevel"/>
    <w:tmpl w:val="D66A4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0E686F"/>
    <w:multiLevelType w:val="hybridMultilevel"/>
    <w:tmpl w:val="5E0A2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74"/>
    <w:rsid w:val="00044F9D"/>
    <w:rsid w:val="00057476"/>
    <w:rsid w:val="001C2746"/>
    <w:rsid w:val="002555A1"/>
    <w:rsid w:val="002B60AA"/>
    <w:rsid w:val="002B6A07"/>
    <w:rsid w:val="003831B0"/>
    <w:rsid w:val="0041382D"/>
    <w:rsid w:val="0052428D"/>
    <w:rsid w:val="005F5D09"/>
    <w:rsid w:val="00626502"/>
    <w:rsid w:val="006A085A"/>
    <w:rsid w:val="00746C35"/>
    <w:rsid w:val="00773030"/>
    <w:rsid w:val="007E4602"/>
    <w:rsid w:val="00825A27"/>
    <w:rsid w:val="00843288"/>
    <w:rsid w:val="0089093B"/>
    <w:rsid w:val="008B316E"/>
    <w:rsid w:val="008B6F4B"/>
    <w:rsid w:val="00906ABF"/>
    <w:rsid w:val="00907CC4"/>
    <w:rsid w:val="00A3317C"/>
    <w:rsid w:val="00A664EF"/>
    <w:rsid w:val="00B30BA2"/>
    <w:rsid w:val="00B658F8"/>
    <w:rsid w:val="00C87BC5"/>
    <w:rsid w:val="00D42CEE"/>
    <w:rsid w:val="00DD2F79"/>
    <w:rsid w:val="00E6149E"/>
    <w:rsid w:val="00E62B38"/>
    <w:rsid w:val="00E80974"/>
    <w:rsid w:val="00F8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FAFB"/>
  <w15:chartTrackingRefBased/>
  <w15:docId w15:val="{76105C58-093E-449F-90C0-D6289E5A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0974"/>
    <w:pPr>
      <w:ind w:left="720"/>
      <w:contextualSpacing/>
    </w:pPr>
  </w:style>
  <w:style w:type="character" w:styleId="Hipervnculo">
    <w:name w:val="Hyperlink"/>
    <w:basedOn w:val="Fuentedeprrafopredeter"/>
    <w:uiPriority w:val="99"/>
    <w:unhideWhenUsed/>
    <w:rsid w:val="00E80974"/>
    <w:rPr>
      <w:color w:val="0563C1" w:themeColor="hyperlink"/>
      <w:u w:val="single"/>
    </w:rPr>
  </w:style>
  <w:style w:type="paragraph" w:styleId="Piedepgina">
    <w:name w:val="footer"/>
    <w:basedOn w:val="Normal"/>
    <w:link w:val="PiedepginaCar"/>
    <w:uiPriority w:val="99"/>
    <w:unhideWhenUsed/>
    <w:rsid w:val="00E80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974"/>
  </w:style>
  <w:style w:type="paragraph" w:styleId="Textonotaalfinal">
    <w:name w:val="endnote text"/>
    <w:basedOn w:val="Normal"/>
    <w:link w:val="TextonotaalfinalCar"/>
    <w:uiPriority w:val="99"/>
    <w:semiHidden/>
    <w:unhideWhenUsed/>
    <w:rsid w:val="00E8097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80974"/>
    <w:rPr>
      <w:sz w:val="20"/>
      <w:szCs w:val="20"/>
    </w:rPr>
  </w:style>
  <w:style w:type="character" w:styleId="Refdenotaalfinal">
    <w:name w:val="endnote reference"/>
    <w:basedOn w:val="Fuentedeprrafopredeter"/>
    <w:uiPriority w:val="99"/>
    <w:semiHidden/>
    <w:unhideWhenUsed/>
    <w:rsid w:val="00E80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94219">
      <w:bodyDiv w:val="1"/>
      <w:marLeft w:val="0"/>
      <w:marRight w:val="0"/>
      <w:marTop w:val="0"/>
      <w:marBottom w:val="0"/>
      <w:divBdr>
        <w:top w:val="none" w:sz="0" w:space="0" w:color="auto"/>
        <w:left w:val="none" w:sz="0" w:space="0" w:color="auto"/>
        <w:bottom w:val="none" w:sz="0" w:space="0" w:color="auto"/>
        <w:right w:val="none" w:sz="0" w:space="0" w:color="auto"/>
      </w:divBdr>
      <w:divsChild>
        <w:div w:id="1750350776">
          <w:marLeft w:val="0"/>
          <w:marRight w:val="0"/>
          <w:marTop w:val="0"/>
          <w:marBottom w:val="0"/>
          <w:divBdr>
            <w:top w:val="none" w:sz="0" w:space="0" w:color="auto"/>
            <w:left w:val="none" w:sz="0" w:space="0" w:color="auto"/>
            <w:bottom w:val="none" w:sz="0" w:space="0" w:color="auto"/>
            <w:right w:val="none" w:sz="0" w:space="0" w:color="auto"/>
          </w:divBdr>
          <w:divsChild>
            <w:div w:id="1319073953">
              <w:marLeft w:val="0"/>
              <w:marRight w:val="0"/>
              <w:marTop w:val="0"/>
              <w:marBottom w:val="0"/>
              <w:divBdr>
                <w:top w:val="none" w:sz="0" w:space="0" w:color="auto"/>
                <w:left w:val="none" w:sz="0" w:space="0" w:color="auto"/>
                <w:bottom w:val="none" w:sz="0" w:space="0" w:color="auto"/>
                <w:right w:val="none" w:sz="0" w:space="0" w:color="auto"/>
              </w:divBdr>
              <w:divsChild>
                <w:div w:id="542326877">
                  <w:marLeft w:val="0"/>
                  <w:marRight w:val="0"/>
                  <w:marTop w:val="0"/>
                  <w:marBottom w:val="0"/>
                  <w:divBdr>
                    <w:top w:val="none" w:sz="0" w:space="0" w:color="auto"/>
                    <w:left w:val="none" w:sz="0" w:space="0" w:color="auto"/>
                    <w:bottom w:val="none" w:sz="0" w:space="0" w:color="auto"/>
                    <w:right w:val="none" w:sz="0" w:space="0" w:color="auto"/>
                  </w:divBdr>
                  <w:divsChild>
                    <w:div w:id="541789529">
                      <w:marLeft w:val="0"/>
                      <w:marRight w:val="0"/>
                      <w:marTop w:val="0"/>
                      <w:marBottom w:val="0"/>
                      <w:divBdr>
                        <w:top w:val="none" w:sz="0" w:space="0" w:color="auto"/>
                        <w:left w:val="none" w:sz="0" w:space="0" w:color="auto"/>
                        <w:bottom w:val="none" w:sz="0" w:space="0" w:color="auto"/>
                        <w:right w:val="none" w:sz="0" w:space="0" w:color="auto"/>
                      </w:divBdr>
                      <w:divsChild>
                        <w:div w:id="1528059043">
                          <w:marLeft w:val="0"/>
                          <w:marRight w:val="0"/>
                          <w:marTop w:val="0"/>
                          <w:marBottom w:val="0"/>
                          <w:divBdr>
                            <w:top w:val="none" w:sz="0" w:space="0" w:color="auto"/>
                            <w:left w:val="none" w:sz="0" w:space="0" w:color="auto"/>
                            <w:bottom w:val="none" w:sz="0" w:space="0" w:color="auto"/>
                            <w:right w:val="none" w:sz="0" w:space="0" w:color="auto"/>
                          </w:divBdr>
                          <w:divsChild>
                            <w:div w:id="2027364033">
                              <w:marLeft w:val="0"/>
                              <w:marRight w:val="0"/>
                              <w:marTop w:val="0"/>
                              <w:marBottom w:val="0"/>
                              <w:divBdr>
                                <w:top w:val="none" w:sz="0" w:space="0" w:color="auto"/>
                                <w:left w:val="none" w:sz="0" w:space="0" w:color="auto"/>
                                <w:bottom w:val="none" w:sz="0" w:space="0" w:color="auto"/>
                                <w:right w:val="none" w:sz="0" w:space="0" w:color="auto"/>
                              </w:divBdr>
                              <w:divsChild>
                                <w:div w:id="1802575534">
                                  <w:marLeft w:val="0"/>
                                  <w:marRight w:val="0"/>
                                  <w:marTop w:val="0"/>
                                  <w:marBottom w:val="0"/>
                                  <w:divBdr>
                                    <w:top w:val="none" w:sz="0" w:space="0" w:color="auto"/>
                                    <w:left w:val="none" w:sz="0" w:space="0" w:color="auto"/>
                                    <w:bottom w:val="none" w:sz="0" w:space="0" w:color="auto"/>
                                    <w:right w:val="none" w:sz="0" w:space="0" w:color="auto"/>
                                  </w:divBdr>
                                  <w:divsChild>
                                    <w:div w:id="431166048">
                                      <w:marLeft w:val="0"/>
                                      <w:marRight w:val="0"/>
                                      <w:marTop w:val="0"/>
                                      <w:marBottom w:val="0"/>
                                      <w:divBdr>
                                        <w:top w:val="none" w:sz="0" w:space="0" w:color="auto"/>
                                        <w:left w:val="none" w:sz="0" w:space="0" w:color="auto"/>
                                        <w:bottom w:val="none" w:sz="0" w:space="0" w:color="auto"/>
                                        <w:right w:val="none" w:sz="0" w:space="0" w:color="auto"/>
                                      </w:divBdr>
                                      <w:divsChild>
                                        <w:div w:id="1258832087">
                                          <w:marLeft w:val="0"/>
                                          <w:marRight w:val="0"/>
                                          <w:marTop w:val="0"/>
                                          <w:marBottom w:val="495"/>
                                          <w:divBdr>
                                            <w:top w:val="none" w:sz="0" w:space="0" w:color="auto"/>
                                            <w:left w:val="none" w:sz="0" w:space="0" w:color="auto"/>
                                            <w:bottom w:val="none" w:sz="0" w:space="0" w:color="auto"/>
                                            <w:right w:val="none" w:sz="0" w:space="0" w:color="auto"/>
                                          </w:divBdr>
                                          <w:divsChild>
                                            <w:div w:id="1060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cndh.org.mx/sites/all/doc/Informes/Especiales/Envejecer-dignidad-DH-24042018.pdf" TargetMode="External"/><Relationship Id="rId13" Type="http://schemas.openxmlformats.org/officeDocument/2006/relationships/hyperlink" Target="https://repositorio.cepal.org/bitstream/handle/11362/43253/1/S1800036_es.pdf" TargetMode="External"/><Relationship Id="rId3" Type="http://schemas.openxmlformats.org/officeDocument/2006/relationships/hyperlink" Target="https://www.gob.mx/cms/uploads/attachment/file/387784/Ingresos_y_gastos_del_adulto_mayor_en_Me_xico_vf-07092018_BUENA.pdf" TargetMode="External"/><Relationship Id="rId7" Type="http://schemas.openxmlformats.org/officeDocument/2006/relationships/hyperlink" Target="http://www.cndh.org.mx/sites/all/doc/Informes/Especiales/Pobreza_DH_082018.pdf" TargetMode="External"/><Relationship Id="rId12" Type="http://schemas.openxmlformats.org/officeDocument/2006/relationships/hyperlink" Target="https://www.cedhnl.org.mx/bs/secciones/publicaciones/publicaciones-especiales/Diagnostico-DAMNL.pdf" TargetMode="External"/><Relationship Id="rId2" Type="http://schemas.openxmlformats.org/officeDocument/2006/relationships/hyperlink" Target="http://publicaciones.inee.edu.mx/buscadorPub/P1/B/116/P1B116.pdf" TargetMode="External"/><Relationship Id="rId1" Type="http://schemas.openxmlformats.org/officeDocument/2006/relationships/hyperlink" Target="http://www.beta.inegi.org.mx/programas/enadis/2017/" TargetMode="External"/><Relationship Id="rId6" Type="http://schemas.openxmlformats.org/officeDocument/2006/relationships/hyperlink" Target="https://www.gob.mx/cms/uploads/attachment/file/239410/ISSM_2016.pdf" TargetMode="External"/><Relationship Id="rId11" Type="http://schemas.openxmlformats.org/officeDocument/2006/relationships/hyperlink" Target="https://www.coneval.org.mx/Evaluacion/IEPSM/IEPSM/Documents/RESUMEN_EJECUTIVO_IEPDS2018.pdf" TargetMode="External"/><Relationship Id="rId5" Type="http://schemas.openxmlformats.org/officeDocument/2006/relationships/hyperlink" Target="http://www.seguropopular.org/" TargetMode="External"/><Relationship Id="rId10" Type="http://schemas.openxmlformats.org/officeDocument/2006/relationships/hyperlink" Target="http://comunicacion.senado.gob.mx/index.php/informacion/boletines/42549-por-unanimidad-aprueba-senado-garantizar-derecho-de-seguridad-social-a-parejas-del-mismo-sexo.html" TargetMode="External"/><Relationship Id="rId4" Type="http://schemas.openxmlformats.org/officeDocument/2006/relationships/hyperlink" Target="https://www.gob.mx/tramites/ficha/incorporacion-al-programa-pension-para-adultos-mayores/BIENESTAR61" TargetMode="External"/><Relationship Id="rId9" Type="http://schemas.openxmlformats.org/officeDocument/2006/relationships/hyperlink" Target="https://www.gob.mx/consar/articulos/las-25-acciones-y-herramientas-de-educacion-financiera-de-la-consar?idiom=es" TargetMode="External"/><Relationship Id="rId14" Type="http://schemas.openxmlformats.org/officeDocument/2006/relationships/hyperlink" Target="http://dof.gob.mx/nota_detalle.php?codigo=5472965&amp;fecha=24/02/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D8B2A-2D73-4725-86AC-C14448B5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2532</Words>
  <Characters>13932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Moreno Gonzalez</dc:creator>
  <cp:keywords/>
  <dc:description/>
  <cp:lastModifiedBy>Maria Teresa Moreno Gonzalez</cp:lastModifiedBy>
  <cp:revision>10</cp:revision>
  <dcterms:created xsi:type="dcterms:W3CDTF">2019-01-18T00:51:00Z</dcterms:created>
  <dcterms:modified xsi:type="dcterms:W3CDTF">2019-02-15T00:42:00Z</dcterms:modified>
</cp:coreProperties>
</file>